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spacing w:before="260" w:after="160"/>
        <w:ind w:right="142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УТВЕРЖДЕН</w:t>
      </w:r>
    </w:p>
    <w:tbl>
      <w:tblPr>
        <w:tblStyle w:val="a9"/>
        <w:tblW w:w="4389" w:type="dxa"/>
        <w:jc w:val="left"/>
        <w:tblInd w:w="53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89"/>
      </w:tblGrid>
      <w:tr>
        <w:trPr/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постановлением Администрации муниципального образования «Рославльский район» Смоленской области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 xml:space="preserve">от 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10.08.2022 № 1132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Передаточный акт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в форме преобразования в общество с ограниченной ответственностью «Рославльское»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Рославль                                                                          «___»________ 2022г.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Настоящий  акт  составлен  о том, что в соответствии Гражданским      кодексом Российской Федерации, Федеральным законом от 21.12.2001 №178-ФЗ «О приватизации государственного и муниципального имущества», Федеральным законом от 14.11.2002 №161-ФЗ «О государственных и муниципальных унитарных предприятиях», прогнозным планом (программой) приватизации муниципального имущества муниципального образования «Рославльский район» Смоленской области на 2021 год и на плановый период 2022 и 2023 годов, утвержденным решением Рославльской районной Думы от 13.10.2020 №10, Уставом муниципального образования «Рославльский район» Смоленской области, постановлением Администрации муниципального образования «Рославльский район» Смоленской области от 29.12.2021 №1861 «О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путем преобразования в общество с ограниченной ответственностью», муниципальное образование «Рославльский район» Смоленской области, в лице Главы муниципального образования «Рославльский район» Смоленской области Ильина Валерия Владимировича сдало, а общество с ограниченной ответственностью «Рославльское», в лице генерального директора Мавлеева Александра Алексеевича приняло подлежащий приватизации имущественный комплекс муниципального унитарного сельскохазяйственного предприятия «Рославльское» в соответствии с приложениями №1, №2.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Уставный капитал: 20057164руб. (двадцать миллионов пятьдесят семь тысяч сто шестьдесят четыре) рубля.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Общество с ограниченной ответственностью «Рославльское» является правопреемником по всем обязательствам муниципального унитарного сельскохозяйственного предприятия «Рославльское» в отношении всех его кредиторов и должников, включая обязательства, оспариваемые сторонами.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№1: Расчет стоимости чистых активов на 1 листе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№2: Дебиторская задолженность в разрезе контрагентов на 1 листе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№3: Кредиторская задолженность в разрезе контрагентов на 1 листе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№4: Состав подлежащего передаче имущества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</w:t>
      </w:r>
      <w:r>
        <w:rPr>
          <w:rFonts w:cs="Times New Roman" w:ascii="Times New Roman" w:hAnsi="Times New Roman"/>
          <w:sz w:val="28"/>
          <w:szCs w:val="28"/>
        </w:rPr>
        <w:t>МУСП «Рославльское» на 39 листах.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Место нахождения общества с ограниченной ответственностью «Рославльское»: 216555, Российская Федерация, Смоленская область, Рославльский район, деревня Волковичи.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«Имущество, указанное в передаточном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акте, имеется в наличии и может быть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передано обществу с ограниченной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ответственностью «Рославльское»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образования                   Генеральный директор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                                         ООО «Рославльское»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Смоленской области                </w:t>
        <w:tab/>
        <w:tab/>
        <w:tab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_________________В.В. Ильин                            _______________Мавлеев А.А.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9"/>
        <w:tblW w:w="4819" w:type="dxa"/>
        <w:jc w:val="left"/>
        <w:tblInd w:w="49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9"/>
      </w:tblGrid>
      <w:tr>
        <w:trPr/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Приложение №1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 передаточному акту при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в форме преобразования в общество с ограниченной ответственностью «Рославльское»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ConsPlusNonformat"/>
        <w:jc w:val="center"/>
        <w:rPr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Расчет стоимости чистых активов</w:t>
      </w:r>
    </w:p>
    <w:tbl>
      <w:tblPr>
        <w:tblStyle w:val="a9"/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"/>
        <w:gridCol w:w="5117"/>
        <w:gridCol w:w="1812"/>
        <w:gridCol w:w="2325"/>
      </w:tblGrid>
      <w:tr>
        <w:trPr/>
        <w:tc>
          <w:tcPr>
            <w:tcW w:w="5612" w:type="dxa"/>
            <w:gridSpan w:val="2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Наименование показателя</w:t>
            </w:r>
          </w:p>
        </w:tc>
        <w:tc>
          <w:tcPr>
            <w:tcW w:w="1812" w:type="dxa"/>
            <w:vMerge w:val="restart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Код строки бухгалтерс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кого баланса</w:t>
            </w:r>
          </w:p>
        </w:tc>
        <w:tc>
          <w:tcPr>
            <w:tcW w:w="2325" w:type="dxa"/>
            <w:vMerge w:val="restart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На начало отчетного периода (на 01.01.2022г.), тыс. руб.</w:t>
            </w:r>
          </w:p>
        </w:tc>
      </w:tr>
      <w:tr>
        <w:trPr>
          <w:trHeight w:val="986" w:hRule="atLeast"/>
        </w:trPr>
        <w:tc>
          <w:tcPr>
            <w:tcW w:w="5612" w:type="dxa"/>
            <w:gridSpan w:val="2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en-US" w:bidi="ar-SA"/>
              </w:rPr>
              <w:t>I.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 xml:space="preserve"> Активы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1812" w:type="dxa"/>
            <w:vMerge w:val="continue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2325" w:type="dxa"/>
            <w:vMerge w:val="continue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Нематериальные активы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1110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Основные средства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1150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6859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3.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Доходные вложения в материальные ценности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1160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4.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Отложенные налоговые активы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1180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5.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Прочие внеоборотные активы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1190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280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6.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Запасы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1210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14400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7.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Налог на добавленную стоимость по приобретенным ценностям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1220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8.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Дебиторская задолженность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1230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168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9.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Финансовые вложения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1240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10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Денежные средства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1250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96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11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Прочие оборотные активы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1260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12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Итого активы, принимаемые к расчету (сумма данных пунктов1-11)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21524</w:t>
            </w:r>
          </w:p>
        </w:tc>
      </w:tr>
      <w:tr>
        <w:trPr/>
        <w:tc>
          <w:tcPr>
            <w:tcW w:w="5612" w:type="dxa"/>
            <w:gridSpan w:val="2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en-US" w:bidi="ar-SA"/>
              </w:rPr>
              <w:t>II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. Пассивы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13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Долгосрочные обязательства по займам и кредитам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1410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14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Прочие долгосрочные обязательства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1450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15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Краткосрочные обязательства по займам и кредитам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1510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16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Кредиторская задолженность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1520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2164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17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Оценочные обязательства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1540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18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Прочие краткосрочные обязательства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1550</w:t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-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19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Итого пассивы, принимаемые к расчету (сумма данных пунктов 13-18)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2164</w:t>
            </w:r>
          </w:p>
        </w:tc>
      </w:tr>
      <w:tr>
        <w:trPr/>
        <w:tc>
          <w:tcPr>
            <w:tcW w:w="49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20</w:t>
            </w:r>
          </w:p>
        </w:tc>
        <w:tc>
          <w:tcPr>
            <w:tcW w:w="5117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Стоимость чистых активов (итого активы (стр.12) минус итого пассивы (стр.19))</w:t>
            </w:r>
          </w:p>
        </w:tc>
        <w:tc>
          <w:tcPr>
            <w:tcW w:w="1812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2325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19360</w:t>
            </w:r>
          </w:p>
        </w:tc>
      </w:tr>
    </w:tbl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a9"/>
        <w:tblW w:w="9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85"/>
        <w:gridCol w:w="4885"/>
      </w:tblGrid>
      <w:tr>
        <w:trPr/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Приложение №2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 передаточному акту при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в форме преобразования в общество с ограниченной ответственностью «Рославльское»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Дебиторская задолженность в разрезе контрагентов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9"/>
        <w:tblW w:w="9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6"/>
        <w:gridCol w:w="6946"/>
        <w:gridCol w:w="1979"/>
      </w:tblGrid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№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Наименование контрагента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Сумма, руб.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«Агроиндустрия»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162500,00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Агротех Лизинг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1050,00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ИП Гаранин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23,76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4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«Кубаньмасло»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2735,00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5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ИП Мурадбегов Ю.Г.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АО «Единая площадка»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1000,00</w:t>
            </w:r>
          </w:p>
        </w:tc>
      </w:tr>
      <w:tr>
        <w:trPr/>
        <w:tc>
          <w:tcPr>
            <w:tcW w:w="7792" w:type="dxa"/>
            <w:gridSpan w:val="2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ИТОГО: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167318,76</w:t>
            </w:r>
          </w:p>
        </w:tc>
      </w:tr>
    </w:tbl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rPr>
          <w:sz w:val="27"/>
          <w:szCs w:val="27"/>
        </w:rPr>
      </w:pPr>
      <w:r>
        <w:rPr>
          <w:sz w:val="27"/>
          <w:szCs w:val="27"/>
        </w:rPr>
      </w:r>
      <w:bookmarkStart w:id="0" w:name="_GoBack"/>
      <w:bookmarkStart w:id="1" w:name="_GoBack"/>
      <w:bookmarkEnd w:id="1"/>
    </w:p>
    <w:tbl>
      <w:tblPr>
        <w:tblStyle w:val="a9"/>
        <w:tblW w:w="9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85"/>
        <w:gridCol w:w="4885"/>
      </w:tblGrid>
      <w:tr>
        <w:trPr/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Приложение №3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 передаточному акту при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в форме преобразования в общество с ограниченной ответственностью «Рославльское»</w:t>
            </w:r>
          </w:p>
        </w:tc>
      </w:tr>
    </w:tbl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Кредиторская задолженность в разрезе контрагентов</w:t>
      </w:r>
    </w:p>
    <w:p>
      <w:pPr>
        <w:pStyle w:val="ConsPlusNonformat"/>
        <w:jc w:val="center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a9"/>
        <w:tblW w:w="9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6"/>
        <w:gridCol w:w="6946"/>
        <w:gridCol w:w="1979"/>
      </w:tblGrid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№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Наименование контрагента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Сумма, руб.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«Агора»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30000,00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«Амтэл»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28700,00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ИП Курилин С.Л.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9420,00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4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«МилкМастер»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19420,00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5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«Милкстрим»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67000,00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«Алекс»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240847,00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7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АО «Смоленское» по племенной работе»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19400,00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8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ИП Черненков Виктор Анатольевич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5580,00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9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ИП Мурадбегов Магомед Гаджиевич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980,00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10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«ТД «Дубровкамолоко»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579351,30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11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НДФЛ исчисленный налоговым агентом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163579,00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12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Расчеты по социальному страхованию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15977,86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13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Обязательное пенсионное страхование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279679,81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14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ФФОМС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52642,71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15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31132,50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16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Расчеты с персоналом по оплате труда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482430,01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17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ООО «Газпром межрегионгаз Смоленск»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1801,34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18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Департамент финансов Смоленской области (ОГБУВ «Госветслужба»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47155,09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19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ПАО «Ростелеком»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6998,39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20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Филиал «СмоленскАтомЭнергоСбыт» АО «АтомЭнергоСбыт»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74454,49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21</w:t>
            </w:r>
          </w:p>
        </w:tc>
        <w:tc>
          <w:tcPr>
            <w:tcW w:w="6946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Исполнительное производство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6629,50</w:t>
            </w:r>
          </w:p>
        </w:tc>
      </w:tr>
      <w:tr>
        <w:trPr/>
        <w:tc>
          <w:tcPr>
            <w:tcW w:w="7792" w:type="dxa"/>
            <w:gridSpan w:val="2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ИТОГО:</w:t>
            </w:r>
          </w:p>
        </w:tc>
        <w:tc>
          <w:tcPr>
            <w:tcW w:w="1979" w:type="dxa"/>
            <w:tcBorders/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2163179,00</w:t>
            </w:r>
          </w:p>
        </w:tc>
      </w:tr>
    </w:tbl>
    <w:p>
      <w:pPr>
        <w:pStyle w:val="ConsPlusNonformat"/>
        <w:jc w:val="center"/>
        <w:rPr>
          <w:sz w:val="27"/>
          <w:szCs w:val="27"/>
        </w:rPr>
      </w:pPr>
      <w:r>
        <w:rPr/>
      </w:r>
    </w:p>
    <w:sectPr>
      <w:type w:val="nextPage"/>
      <w:pgSz w:w="11906" w:h="16838"/>
      <w:pgMar w:left="1701" w:right="424" w:gutter="0" w:header="0" w:top="851" w:footer="0" w:bottom="1134"/>
      <w:pgNumType w:fmt="decimal"/>
      <w:formProt w:val="false"/>
      <w:textDirection w:val="lrTb"/>
      <w:docGrid w:type="default" w:linePitch="36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nsPlusNormal" w:customStyle="1">
    <w:name w:val="ConsPlusNormal"/>
    <w:qFormat/>
    <w:rsid w:val="002b66f4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Nonformat" w:customStyle="1">
    <w:name w:val="ConsPlusNonformat"/>
    <w:qFormat/>
    <w:rsid w:val="002b66f4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Page" w:customStyle="1">
    <w:name w:val="ConsPlusTitlePage"/>
    <w:qFormat/>
    <w:rsid w:val="002b66f4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da5bf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01F6B-2630-421A-8935-3CD6E989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Application>LibreOffice/7.2.4.1$Windows_X86_64 LibreOffice_project/27d75539669ac387bb498e35313b970b7fe9c4f9</Application>
  <AppVersion>15.0000</AppVersion>
  <Pages>5</Pages>
  <Words>733</Words>
  <Characters>5492</Characters>
  <CharactersWithSpaces>6363</CharactersWithSpaces>
  <Paragraphs>210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2022-03-15T08:30:00Z</dcterms:created>
  <dc:creator>Лукашова</dc:creator>
  <dc:description/>
  <dc:language>ru-RU</dc:language>
  <cp:lastModifiedBy/>
  <cp:lastPrinted>2022-08-12T11:21:28Z</cp:lastPrinted>
  <dcterms:modified xsi:type="dcterms:W3CDTF">2022-08-12T11:22:07Z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