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4113" w:leader="none"/>
          <w:tab w:val="left" w:pos="9310" w:leader="none"/>
        </w:tabs>
        <w:spacing w:lineRule="auto" w:line="240" w:before="0" w:after="0"/>
        <w:ind w:right="0" w:hang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bCs/>
          <w:sz w:val="28"/>
          <w:szCs w:val="28"/>
        </w:rPr>
        <w:t>Утвержден</w:t>
      </w:r>
    </w:p>
    <w:p>
      <w:pPr>
        <w:pStyle w:val="Normal"/>
        <w:widowControl w:val="false"/>
        <w:tabs>
          <w:tab w:val="clear" w:pos="708"/>
          <w:tab w:val="left" w:pos="4113" w:leader="none"/>
        </w:tabs>
        <w:suppressAutoHyphens w:val="true"/>
        <w:overflowPunct w:val="false"/>
        <w:bidi w:val="0"/>
        <w:spacing w:lineRule="auto" w:line="240" w:before="0" w:after="0"/>
        <w:ind w:left="5272" w:right="0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widowControl w:val="false"/>
        <w:tabs>
          <w:tab w:val="clear" w:pos="708"/>
          <w:tab w:val="left" w:pos="4113" w:leader="none"/>
        </w:tabs>
        <w:spacing w:lineRule="auto" w:line="240" w:before="0" w:after="0"/>
        <w:ind w:right="0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от 08.02.2023 № 124</w:t>
      </w:r>
    </w:p>
    <w:p>
      <w:pPr>
        <w:pStyle w:val="Normal"/>
        <w:widowControl w:val="false"/>
        <w:tabs>
          <w:tab w:val="clear" w:pos="708"/>
          <w:tab w:val="left" w:pos="4113" w:leader="none"/>
        </w:tabs>
        <w:spacing w:lineRule="auto" w:line="240" w:before="0" w:after="0"/>
        <w:ind w:right="0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113" w:leader="none"/>
        </w:tabs>
        <w:spacing w:lineRule="auto" w:line="240" w:before="0" w:after="0"/>
        <w:ind w:right="0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ConsPlusTitle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</w:t>
      </w:r>
    </w:p>
    <w:p>
      <w:pPr>
        <w:pStyle w:val="ConsPlusTitle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проведения оценки эффективности реализации</w:t>
      </w:r>
    </w:p>
    <w:p>
      <w:pPr>
        <w:pStyle w:val="ConsPlusTitle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муниципальных программ</w:t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tabs>
          <w:tab w:val="clear" w:pos="708"/>
          <w:tab w:val="left" w:pos="709" w:leader="none"/>
        </w:tabs>
        <w:suppressAutoHyphens w:val="true"/>
        <w:bidi w:val="0"/>
        <w:spacing w:lineRule="auto" w:line="240" w:before="0" w:after="0"/>
        <w:ind w:left="0" w:right="0" w:firstLine="51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Настоящий Порядок проведения оценки эффективности реализации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муниципальных программ (далее-Порядок) определяет правила проведения ежегодной оценки эффективности реализации муниципальных программ муниципального образования «Рославльский район» Смоленской области  и Рославльского городского поселения Рославльского района Смоленской области (далее - муниципальная программа), критерии и методику указанной оценки.</w:t>
      </w:r>
    </w:p>
    <w:p>
      <w:pPr>
        <w:pStyle w:val="ConsPlusNormal"/>
        <w:tabs>
          <w:tab w:val="clear" w:pos="708"/>
          <w:tab w:val="left" w:pos="567" w:leader="none"/>
          <w:tab w:val="left" w:pos="709" w:leader="none"/>
          <w:tab w:val="left" w:pos="851" w:leader="none"/>
        </w:tabs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 Оценка эффективности реализации муниципальной программы осуществляется ответственным исполнителем муниципальной программы на основе представленных  соисполнителями   муниципальной программы  годовых отчетов: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об итогах выполнения  показателей муниципальной программы;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об итогах выполнения результатов и (или) показателей структурных элементов муниципальной программы;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 степени соответствия расходов средств бюджетов муниципального образования «Рославльский район» Смоленской области, Рославльского городского поселения Рославльского района Смоленской области, и (или) областного, и (или) федерального бюджетов уровню затрат.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 Оценка эффективности реализации муниципальной программы осуществляется за прошедший год в целом по муниципальной программе, входящим в нее структурным элементам (за исключением комплекса процессных мероприятий «Обеспечение организационных условий для реализации муниципальной программы»).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4. Оценка эффективности муниципальной программы проводится по следующим критериям: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достижения целей муниципальной программы в целом;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достижения результатов и (или) показателей структурных элементов муниципальной программы;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бюджета муниципального образования «Рославльский район» Смоленской области, Рославльского городского поселения Рославльского района Смоленской области, и (или) областного, и (или) федерального бюджетов.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 Оценка эффективности реализации муниципальной программы осуществляется на основе методики оценки эффективности реализации муниципальной программы, являющейся приложением к настоящему Порядку.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 Расчеты по результатам оценки эффективности реализации муниципальной программы и ее результаты представляются в Комитет экономики и инвестиций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«Рославльский район» Смоленской области (далее-Комитет экономики и инвестиций) </w:t>
      </w:r>
      <w:r>
        <w:rPr>
          <w:rFonts w:cs="Times New Roman" w:ascii="Times New Roman" w:hAnsi="Times New Roman"/>
          <w:sz w:val="28"/>
          <w:szCs w:val="28"/>
        </w:rPr>
        <w:t>в срок до 1 марта года, следующего за отчетным, с приложением пояснительной записки, объясняющей особенности проведения оценки эффективности реализации муниципальной программы (за исключением муниципальных программ, в отношении которых по состоянию на 1 марта года, следующего за отчетным, отсутствуют данные государственного статистического наблюдения о достижении плановых значений целевых показателей муниципальной программы и результатов и(или) показателей структурных элементов муниципальной программы).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случае представления дополнительной информации в соответствии с пунктом 7.7 Порядка принятия решения о разработке муниципальных программ, их формирования и реализации, утвержденного постановлением Администрации муниципального образования «Рославльский район» Смоленской области от 07.02.2022 №134, расчеты по результатам оценки эффективности реализации муниципальной программы и ее результаты представляются в срок до 1 мая года, следующего за отчетным.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55"/>
      <w:bookmarkEnd w:id="0"/>
      <w:r>
        <w:rPr>
          <w:rFonts w:cs="Times New Roman" w:ascii="Times New Roman" w:hAnsi="Times New Roman"/>
          <w:sz w:val="28"/>
          <w:szCs w:val="28"/>
        </w:rPr>
        <w:t xml:space="preserve">7. Комитет экономики и инвестиций в срок до 1 июня года, следующего за отчетным, формирует сводную информацию о реализации муниципальных программ с учетом проведенной оценки эффективности реализации муниципальных программ на основании предоставленных годовых отчетов ответственными исполнителями муниципальных программ и предложения по дальнейшей реализации конкретной муниципальной программы и (или) о необходимости внесения изменений в муниципальную программу и представляет их на рассмотрение рабочей группы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по рассмотрению вопросов, связанных с разработкой, формированием, реализацией муниципальных программ и проведением оценки их эффективности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утвержденной постановлением Администрации муниципального образования «Рославльский район» Смоленской области (далее – рабочая группа)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Вывод по результатам проведенной оценки эффективности отражается в таблице №1.</w:t>
      </w:r>
    </w:p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№ 1</w:t>
      </w:r>
    </w:p>
    <w:p>
      <w:pPr>
        <w:pStyle w:val="Normal"/>
        <w:spacing w:lineRule="auto" w:line="240" w:before="0" w:after="0"/>
        <w:ind w:left="0"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Сводная информация об оценке эффективности реализации муниципальных программ</w:t>
      </w:r>
    </w:p>
    <w:tbl>
      <w:tblPr>
        <w:tblW w:w="9135" w:type="dxa"/>
        <w:jc w:val="left"/>
        <w:tblInd w:w="2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3517"/>
        <w:gridCol w:w="50"/>
        <w:gridCol w:w="2749"/>
      </w:tblGrid>
      <w:tr>
        <w:trPr>
          <w:trHeight w:val="510" w:hRule="atLeast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Предложения по дальнейшей реализации муниципальной программы</w:t>
            </w:r>
          </w:p>
        </w:tc>
      </w:tr>
      <w:tr>
        <w:trPr>
          <w:trHeight w:val="428" w:hRule="atLeast"/>
        </w:trPr>
        <w:tc>
          <w:tcPr>
            <w:tcW w:w="9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Наименование муниципальной программы _______________________</w:t>
            </w:r>
          </w:p>
        </w:tc>
      </w:tr>
      <w:tr>
        <w:trPr>
          <w:trHeight w:val="419" w:hRule="atLeast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72" w:hRule="atLeast"/>
        </w:trPr>
        <w:tc>
          <w:tcPr>
            <w:tcW w:w="9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Наименование муниципальной программы _______________________</w:t>
            </w:r>
          </w:p>
        </w:tc>
      </w:tr>
      <w:tr>
        <w:trPr>
          <w:trHeight w:val="510" w:hRule="atLeast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Ответственный исполнитель муниципальной программы, признанной по результатам проведенной оценки эффективности ее реализации неудовлетворительной, формирует и представляет доклад для рассмотрения рабочей группой. Доклад должен содержать: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причины отклонения фактических результатов реализации муниципальной программы от запланированных;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предложения о внесении изменений в муниципальную программу, направленных на повышение эффективности реализации муниципальной программы в дальнейшем.</w:t>
      </w:r>
    </w:p>
    <w:p>
      <w:pPr>
        <w:pStyle w:val="ConsPlusNormal"/>
        <w:tabs>
          <w:tab w:val="clear" w:pos="708"/>
          <w:tab w:val="left" w:pos="9637" w:leader="none"/>
        </w:tabs>
        <w:ind w:left="0" w:right="-2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9. По результатам рассмотрения, представленного доклада в соответствии с </w:t>
      </w:r>
      <w:hyperlink w:anchor="P1750">
        <w:r>
          <w:rPr>
            <w:rFonts w:cs="Times New Roman" w:ascii="Times New Roman" w:hAnsi="Times New Roman"/>
            <w:sz w:val="28"/>
            <w:szCs w:val="28"/>
          </w:rPr>
          <w:t>пунктом 8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Порядка, рабочая группа рекомендует ответственному исполнителю муниципальной программы внести изменения в муниципальную программу (в том числе в перечень мероприятий муниципальной программы, в объемы бюджетных ассигнований на реализацию муниципальной программы).</w:t>
      </w:r>
    </w:p>
    <w:p>
      <w:pPr>
        <w:pStyle w:val="ConsPlusNormal"/>
        <w:tabs>
          <w:tab w:val="clear" w:pos="708"/>
          <w:tab w:val="left" w:pos="9637" w:leader="none"/>
        </w:tabs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ConsPlusTitle"/>
        <w:widowControl w:val="false"/>
        <w:suppressAutoHyphens w:val="true"/>
        <w:overflowPunct w:val="false"/>
        <w:bidi w:val="0"/>
        <w:spacing w:lineRule="auto" w:line="276" w:before="0" w:after="0"/>
        <w:ind w:left="5102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к Порядку проведения оценки эффективности реализации</w:t>
      </w:r>
    </w:p>
    <w:p>
      <w:pPr>
        <w:pStyle w:val="ConsPlusTitle"/>
        <w:ind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b w:val="false"/>
          <w:sz w:val="28"/>
          <w:szCs w:val="28"/>
        </w:rPr>
        <w:t>муниципальных программ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Методика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оценки эффективности реализации муниципальных программ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1"/>
        </w:numPr>
        <w:ind w:left="720" w:right="0" w:hanging="360"/>
        <w:jc w:val="center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Оценка эффективности реализации муниципальной программы   производится ежегодно ответственным исполнителем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Оценка эффективности реализации муниципальной программы производится с учетом следующих составляющих: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оценки степени достижения целей  муниципальной программы в целом;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степени выполнения показателей муниципальной программы и результатов и (или) показателей ее структурных элементов;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 оценки степени соответствия запланированному уровню затрат;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эффективности использования средств бюджета муниципального образования «Рославльский район» Смоленской области (далее – местного бюджета), и (или) бюджета Рославльского городского поселения Рославльского района Смоленской области (далее – местного бюджета), и (или) областного, и (или) федерального бюджетов.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Оценка эффективности реализации муниципальных программ осуществляется в два этапа.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первом этапе осуществляется оценка эффективности реализации структурных элементов муниципальной программы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(за исключением комплекса процессных мероприятий «Обеспечение организационных условий для реализации муниципальной программы»)</w:t>
      </w:r>
      <w:r>
        <w:rPr>
          <w:rFonts w:cs="Times New Roman" w:ascii="Times New Roman" w:hAnsi="Times New Roman"/>
          <w:sz w:val="28"/>
          <w:szCs w:val="28"/>
        </w:rPr>
        <w:t>, которая определяется с учетом: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  оценки степени реализации мероприятий муниципальной программы;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 оценки степени соответствия запланированному уровню затрат;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эффективности использования средств местного и (или) областного,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степени достижения результатов и (или) показателей структурных элементов муниципальной программы.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муниципальной программы и оценки эффективности реализации структурных элементов муниципальной программы.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1" w:name="Par4440"/>
      <w:bookmarkEnd w:id="1"/>
      <w:r>
        <w:rPr>
          <w:rFonts w:cs="Times New Roman" w:ascii="Times New Roman" w:hAnsi="Times New Roman"/>
          <w:b/>
          <w:sz w:val="28"/>
          <w:szCs w:val="28"/>
        </w:rPr>
        <w:t>2. Оценка степени реализации мероприятий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Степень реализации мероприятий муниципальной программы оценивается для каждого структурного элемента как доля результатов и (или) показателей, выполненных в полном объеме,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= М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/ М,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м </w:t>
      </w:r>
      <w:r>
        <w:rPr>
          <w:rFonts w:cs="Times New Roman" w:ascii="Times New Roman" w:hAnsi="Times New Roman"/>
          <w:sz w:val="28"/>
          <w:szCs w:val="28"/>
        </w:rPr>
        <w:t>- степень реализации мероприятий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- количество выполненных не менее чем на 95 процентов результатов и (или) показателей структурных элементов, запланированных к реализации в отчетном году;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 - общее количество результатов и (или) показателей структурных элементов, запланированных к реализации в отчетном году.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отношении мероприятий муниципальной программы, полностью или частично реализуемых за счет средств местного и (или) областного, и (или) федерального бюджетов, оценка степени реализации мероприятий проводится в обязательном порядке. 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отношении мероприятий муниципальной программы, на реализацию которых средства местного и (или) областного, и (или) федерального бюджетов не предусмотрены, решение о необходимости проведения оценки степени реализации этих мероприятий принимается ответственным исполнителем муниципальной программы.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2" w:name="Par4465"/>
      <w:bookmarkEnd w:id="2"/>
      <w:r>
        <w:rPr>
          <w:rFonts w:cs="Times New Roman" w:ascii="Times New Roman" w:hAnsi="Times New Roman"/>
          <w:b/>
          <w:sz w:val="28"/>
          <w:szCs w:val="28"/>
        </w:rPr>
        <w:t>3. Оценка степени соответствия запланированному уровню затрат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Степень соответствия запланированному уровню затрат местного и (или) областного, и (или) федерального бюджетов оценивается для каждого структурного элемента, как отношение фактически произведенных в отчетном году расходов на реализацию структурного элемента к их плановым значениям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= 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ф</w:t>
      </w:r>
      <w:r>
        <w:rPr>
          <w:rFonts w:cs="Times New Roman" w:ascii="Times New Roman" w:hAnsi="Times New Roman"/>
          <w:sz w:val="28"/>
          <w:szCs w:val="28"/>
        </w:rPr>
        <w:t xml:space="preserve"> / 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п</w:t>
      </w:r>
      <w:r>
        <w:rPr>
          <w:rFonts w:cs="Times New Roman" w:ascii="Times New Roman" w:hAnsi="Times New Roman"/>
          <w:sz w:val="28"/>
          <w:szCs w:val="28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ф</w:t>
      </w:r>
      <w:r>
        <w:rPr>
          <w:rFonts w:cs="Times New Roman" w:ascii="Times New Roman" w:hAnsi="Times New Roman"/>
          <w:sz w:val="28"/>
          <w:szCs w:val="28"/>
        </w:rPr>
        <w:t xml:space="preserve"> - фактические расходы на реализацию структурного элемента в отчетном году (по состоянию на  31 декабря отчетного года);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 - плановые расходы местного и (или) областного, и (или) федерального бюджетов на реализацию структурного элемента в отчетном году по состоянию на 1 ноября отчетного года. 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отдельных случаях (по согласованию с созданным на уровне муниципального образования коллегиального органа по рассмотрению вопросов, связанных с разработкой и реализацией муниципальных программ) допускается учитывать плановые расходы </w:t>
      </w:r>
      <w:bookmarkStart w:id="3" w:name="Par4480"/>
      <w:bookmarkEnd w:id="3"/>
      <w:r>
        <w:rPr>
          <w:rFonts w:cs="Times New Roman" w:ascii="Times New Roman" w:hAnsi="Times New Roman"/>
          <w:sz w:val="28"/>
          <w:szCs w:val="28"/>
        </w:rPr>
        <w:t>местного и (или) областного, и (или) федерального бюджетов на реализацию структурного элемента на иную дату отчетного года. Согласование иной даты, по состоянию на которую учитываются плановые расходы местного и (или) областного, и (или) федерального бюджетов на реализацию структурного элемента, осуществляется до начала отчетного года.</w:t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Оценка эффективности использования средств местного и (или) областного, и (или) федерального бюджетов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Эффективность использования средств местного и (или) областного, и (или) федерального бюджетов рассчитывается для каждого структурного элемента  как отношение степени реализации мероприятий к степени соответствия запланированному уровню расходов средств местного и (или) областного, и (или) федерального бюджетов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Э</w:t>
      </w:r>
      <w:r>
        <w:rPr>
          <w:rFonts w:cs="Times New Roman" w:ascii="Times New Roman" w:hAnsi="Times New Roman"/>
          <w:sz w:val="28"/>
          <w:szCs w:val="28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</w:rPr>
        <w:t xml:space="preserve"> = 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/ 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Э</w:t>
      </w:r>
      <w:r>
        <w:rPr>
          <w:rFonts w:cs="Times New Roman" w:ascii="Times New Roman" w:hAnsi="Times New Roman"/>
          <w:sz w:val="28"/>
          <w:szCs w:val="28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4" w:name="Par4501"/>
      <w:bookmarkEnd w:id="4"/>
      <w:r>
        <w:rPr>
          <w:rFonts w:cs="Times New Roman" w:ascii="Times New Roman" w:hAnsi="Times New Roman"/>
          <w:b/>
          <w:sz w:val="28"/>
          <w:szCs w:val="28"/>
        </w:rPr>
        <w:t>5. Оценка степени выполнения результатов и(или) показателей структурных элементов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5.1. Для оценки степени выполнения результатов и (или) показателей структурных элементов (далее - степень реализации) определяется степень достижения плановых значений каждого результата и (или) показателя  структурного элемента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5.2. Степень достижения планового значения результата и (или) показателя (индикатора) рассчитывается: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результатов и (или) показателей, желаемой тенденцией развития которых является увеличение значений, по формуле:                   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п/пф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достижения планового значения результата и (или)  показателя;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п/пф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значение результата и (или) показателя, фактически достигнутое на конец отчетного периода;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плановое значение результата и (или) показателя на конец отчетного года;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результатов и (или) показателей, желаемой тенденцией развития которых является снижение значений, по формуле:               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 xml:space="preserve">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5.3. Степень реализации структурного элемента муниципальной программы  рассчитывается по формуле: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N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∑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N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достижения результата и (или)  показателя;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N - число показателей.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больше 1, значение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принимается равным 1.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highlight w:val="none"/>
          <w:shd w:fill="auto" w:val="clear"/>
        </w:rPr>
      </w:pPr>
      <w:bookmarkStart w:id="5" w:name="Par4533"/>
      <w:bookmarkEnd w:id="5"/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6. Оценка эффективности реализации структурного элемента муниципальной программы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firstLine="540"/>
        <w:jc w:val="both"/>
        <w:outlineLvl w:val="2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6.1. Эффективность реализации структурного элемента муниципальной программы оценивается в зависимости от значений оценки степени реализации структурного элемента муниципальной программы и оценки эффективности использования средств местного и (или) областного, и (или) федерального бюджетов по следующей формуле: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fldChar w:fldCharType="begin"/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/>
        <w:drawing>
          <wp:inline distT="0" distB="0" distL="0" distR="0">
            <wp:extent cx="127635" cy="210820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Э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использования средств местного и (или) областного, и (или) федерального бюджетов.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6.2. Эффективность реализации структурного элемента муниципальной программы признается высокой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0,9.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структурного элемента муниципальной программы признается средней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0,8.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структурного элемента муниципальной программы признается удовлетворительной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0,7.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остальных случаях эффективность реализации структурного элемента муниципальной программы)признается неудовлетворительной.</w:t>
      </w:r>
      <w:bookmarkStart w:id="6" w:name="Par4549"/>
      <w:bookmarkEnd w:id="6"/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7. Оценка степени достижения целей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7.1. Для оценки степени достижения целей муниципальной программы (далее - степень реализации муниципальной программы) определяется степень достижения плановых значений каждого показателя, характеризующего цели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7.2. Степень достижения планового значения показателя, характеризующего цели муниципальной программы, рассчитывается: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показателей, желаемой тенденцией развития которых является увеличение значений, по формуле:                           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достижения планового значения показателя, характеризующего цели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значение показателя, характеризующего цели муниципальной программы, фактически достигнутое на конец отчетного периода;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плановое значение показателя, характеризующего цели муниципальной программы, на конец отчетного года;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для показателей, желаемой тенденцией развития которых является снижение значений, по формуле: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7.3. Степень реализации муниципальной программы рассчитывается по формуле:</w:t>
      </w:r>
    </w:p>
    <w:p>
      <w:pPr>
        <w:pStyle w:val="Normal"/>
        <w:widowControl w:val="false"/>
        <w:spacing w:lineRule="auto" w:line="240" w:before="0" w:after="0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м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∑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М,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достижения планового значения показателя, характеризующего цели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М - число показателей, характеризующих цели муниципальной программы.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больше 1, значение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принимается равным 1.</w:t>
      </w:r>
      <w:bookmarkStart w:id="7" w:name="Par4581"/>
      <w:bookmarkEnd w:id="7"/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highlight w:val="none"/>
          <w:shd w:fill="FFFF00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8. Оценка эффективности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структурных элементов по следующей формуле: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j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0,5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2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+ 0,5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3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∑ (ЭР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4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),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коэффициент значимости структурного элемента муниципальной программы для достижения целей муниципальной программы, который рассчитывается по формуле: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Ф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Ф,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Фj - объем фактических расходов из местного и (или) областного, и (или) федерального бюджетов (кассового исполнения) на реализацию j-й структурного элемента муниципальной программыв отчетном году;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j - количество структурных элементов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8.2. Эффективность реализации муниципальной программы признается высокой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0,90.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муниципальной программы признается средней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0,80.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муниципальной программы признается удовлетворительной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0,70.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остальных случаях эффективность реализации муниципальной программы признается неудовлетворительной.</w:t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Расчет оценки эффективности муниципальной программы представляется ответственным исполнителем муниципальной программы с годовым отчетом по форме, согласно приложению  </w:t>
      </w:r>
      <w:r>
        <w:rPr>
          <w:rFonts w:cs="Times New Roman" w:ascii="Times New Roman" w:hAnsi="Times New Roman"/>
          <w:b w:val="false"/>
          <w:sz w:val="28"/>
          <w:szCs w:val="28"/>
          <w:shd w:fill="auto" w:val="clear"/>
        </w:rPr>
        <w:t>к Методике оценки эффективности реализации муниципальных программ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 w:before="0" w:after="0"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ConsPlusTitle"/>
        <w:widowControl w:val="false"/>
        <w:suppressAutoHyphens w:val="true"/>
        <w:overflowPunct w:val="false"/>
        <w:bidi w:val="0"/>
        <w:spacing w:lineRule="auto" w:line="276" w:before="0" w:after="0"/>
        <w:ind w:left="4592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к </w:t>
      </w:r>
      <w:r>
        <w:rPr>
          <w:rFonts w:cs="Times New Roman" w:ascii="Times New Roman" w:hAnsi="Times New Roman"/>
          <w:b w:val="false"/>
          <w:sz w:val="28"/>
          <w:szCs w:val="28"/>
          <w:shd w:fill="auto" w:val="clear"/>
        </w:rPr>
        <w:t>Методике оценки эффективности реализации муниципальных программ</w:t>
      </w:r>
    </w:p>
    <w:p>
      <w:pPr>
        <w:pStyle w:val="ConsPlu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tbl>
      <w:tblPr>
        <w:tblW w:w="8588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6"/>
        <w:gridCol w:w="2901"/>
      </w:tblGrid>
      <w:tr>
        <w:trPr>
          <w:trHeight w:val="975" w:hRule="atLeast"/>
        </w:trPr>
        <w:tc>
          <w:tcPr>
            <w:tcW w:w="858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  <w:lang w:eastAsia="ru-RU"/>
              </w:rPr>
              <w:t xml:space="preserve">Расчет эффективности реализации муниципальной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 xml:space="preserve">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>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auto" w:val="clear"/>
                <w:lang w:eastAsia="ru-RU"/>
              </w:rPr>
              <w:t>(наименование муниципальной программы)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>за 20__ год</w:t>
            </w:r>
          </w:p>
        </w:tc>
      </w:tr>
      <w:tr>
        <w:trPr>
          <w:trHeight w:val="255" w:hRule="atLeast"/>
        </w:trPr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Наименование рассчитываемого результата и (или) показателя</w:t>
            </w:r>
          </w:p>
        </w:tc>
        <w:tc>
          <w:tcPr>
            <w:tcW w:w="2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Последовательность расчета</w:t>
            </w:r>
          </w:p>
        </w:tc>
      </w:tr>
      <w:tr>
        <w:trPr>
          <w:trHeight w:val="255" w:hRule="atLeast"/>
        </w:trPr>
        <w:tc>
          <w:tcPr>
            <w:tcW w:w="85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Проектная часть</w:t>
            </w:r>
          </w:p>
        </w:tc>
      </w:tr>
      <w:tr>
        <w:trPr>
          <w:trHeight w:val="495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Структурный элемент 1. (Региональный, ведомственный проект)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_______________________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(наименование программы)</w:t>
            </w:r>
          </w:p>
        </w:tc>
      </w:tr>
      <w:tr>
        <w:trPr>
          <w:trHeight w:val="45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1. Степень реализации мероприятий СРм = Мв / М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2. Степень соответствия запланированному уровню расходов ССуз = Зф / Зп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3. Эффективность использования средств                        Эис = СРм / ССуз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4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4. Оценка степени достижения целей                                        СДп/ппз = ЗПп/пф / ЗПп/пп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5. Степень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СРп/п = Σ СДп/ппз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6. Оценка эффективности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ЭРп/п = СРп/п * Эис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85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Процессная часть</w:t>
            </w:r>
          </w:p>
        </w:tc>
      </w:tr>
      <w:tr>
        <w:trPr>
          <w:trHeight w:val="360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Структурный элемент 2.  (Комплекс процессных мероприятий)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_______________________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(наименование программы)</w:t>
            </w:r>
          </w:p>
        </w:tc>
      </w:tr>
      <w:tr>
        <w:trPr>
          <w:trHeight w:val="25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1. Степень реализации мероприятий СРм = Мв / М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2. Степень соответствия запланированному уровню расходов ССуз = Зф / Зп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3. Эффективность использования средств                        Эис = СРм / ССуз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76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4. Оценка степени достижения целей                                        СДп/ппз = ЗПп/пф / ЗПп/пп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5. Степень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СРп/п = Σ СДп/ппз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6. Оценка эффективности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ЭРп/п = СРп/п * Эис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Оценка 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ОМП в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 целом</w:t>
            </w:r>
          </w:p>
        </w:tc>
      </w:tr>
      <w:tr>
        <w:trPr>
          <w:trHeight w:val="571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7. Оценка степени достижения целей                                      СДгппз = ЗПгпф / ЗПгпл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8. Степень реализации программы                                             СРгп = Σ СДгппз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1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9. Коэффициент значимости структурного элемента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k = Фп/п / Фгп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1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10. Эффективность </w:t>
            </w:r>
            <w:r>
              <w:rPr>
                <w:rFonts w:cs="Arial" w:ascii="Arial" w:hAnsi="Arial"/>
                <w:sz w:val="20"/>
                <w:szCs w:val="20"/>
                <w:shd w:fill="auto" w:val="clear"/>
                <w:lang w:eastAsia="ru-RU"/>
              </w:rPr>
              <w:t>реализации муниципальной программы ЭРгп = 0,5 * СРгп + 0,5 * Σ ЭРп/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 * k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</w:tbl>
    <w:p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701" w:right="850" w:gutter="0" w:header="0" w:top="1350" w:footer="0" w:bottom="110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Arial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eastAsia="Calibri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spacing w:lineRule="auto" w:line="276" w:before="0" w:after="200"/>
      <w:jc w:val="left"/>
    </w:pPr>
    <w:rPr>
      <w:rFonts w:ascii="Arial" w:hAnsi="Arial" w:eastAsia="Calibri" w:cs="Arial"/>
      <w:b/>
      <w:bCs/>
      <w:color w:val="auto"/>
      <w:kern w:val="0"/>
      <w:sz w:val="20"/>
      <w:szCs w:val="20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</w:pPr>
    <w:rPr>
      <w:rFonts w:ascii="Times New Roman" w:hAnsi="Times New Roman" w:eastAsia="Calibri" w:cs="Times New Roman"/>
      <w:sz w:val="20"/>
      <w:szCs w:val="20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Application>LibreOffice/7.2.4.1$Windows_X86_64 LibreOffice_project/27d75539669ac387bb498e35313b970b7fe9c4f9</Application>
  <AppVersion>15.0000</AppVersion>
  <Pages>10</Pages>
  <Words>2199</Words>
  <Characters>16231</Characters>
  <CharactersWithSpaces>19356</CharactersWithSpaces>
  <Paragraphs>172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2022-03-02T12:05:00Z</dcterms:created>
  <dc:creator>T-34 CCCP</dc:creator>
  <dc:description/>
  <dc:language>ru-RU</dc:language>
  <cp:lastModifiedBy/>
  <cp:lastPrinted>2023-02-15T12:26:30Z</cp:lastPrinted>
  <dcterms:modified xsi:type="dcterms:W3CDTF">2023-02-20T11:46:04Z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