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969" w:leader="none"/>
        </w:tabs>
        <w:spacing w:before="120" w:after="0"/>
        <w:ind w:right="76" w:hanging="0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МУНИЦИПАЛЬНОГО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14.09.2022 № 1281</w:t>
      </w:r>
    </w:p>
    <w:p>
      <w:pPr>
        <w:pStyle w:val="Style17"/>
        <w:tabs>
          <w:tab w:val="clear" w:pos="708"/>
          <w:tab w:val="left" w:pos="4536" w:leader="none"/>
        </w:tabs>
        <w:spacing w:before="0" w:after="0"/>
        <w:ind w:right="567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7"/>
        <w:tabs>
          <w:tab w:val="clear" w:pos="708"/>
          <w:tab w:val="left" w:pos="3969" w:leader="none"/>
          <w:tab w:val="left" w:pos="4111" w:leader="none"/>
        </w:tabs>
        <w:ind w:right="5669" w:hanging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  <w:lang w:val="ru-RU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в Порядок расходования муниципальными бюджетными учреждениями средств, поступающих за оказание образовательных услуг, установленных муниципальным заданием, в рамках системы персонифицированного финансирования дополнительного образования детей в муниципальном образовании «Рославльский район» Смоленской области</w:t>
      </w:r>
    </w:p>
    <w:p>
      <w:pPr>
        <w:pStyle w:val="Style17"/>
        <w:tabs>
          <w:tab w:val="clear" w:pos="708"/>
          <w:tab w:val="left" w:pos="3969" w:leader="none"/>
          <w:tab w:val="left" w:pos="4111" w:leader="none"/>
        </w:tabs>
        <w:spacing w:before="0" w:after="0"/>
        <w:ind w:right="5385" w:hanging="0"/>
        <w:jc w:val="both"/>
        <w:rPr>
          <w:rFonts w:ascii="Times New Roman" w:hAnsi="Times New Roman"/>
          <w:sz w:val="22"/>
          <w:szCs w:val="28"/>
          <w:lang w:val="ru-RU"/>
        </w:rPr>
      </w:pPr>
      <w:r>
        <w:rPr>
          <w:rFonts w:ascii="Times New Roman" w:hAnsi="Times New Roman"/>
          <w:sz w:val="22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cs="Times New Roman" w:ascii="Times New Roman" w:hAnsi="Times New Roman"/>
          <w:sz w:val="22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Администрация муниципального образования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 о с т а н о в л я е т:</w:t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993" w:leader="none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Порядок расходования муниципальными бюджетными учреждениями средств, поступающих за оказание образовательных услуг, установленных муниципальным заданием, в рамках системы персонифицированного финансирования дополнительного образования детей в муниципальном образовании «Рославльский район» Смоленской области, утвержденный постановлением Администрации муниципального образования «Рославльский район» Смоленской области от 30.12.2020 № 1820, следующие изменения: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567" w:leader="none"/>
          <w:tab w:val="left" w:pos="993" w:leader="none"/>
        </w:tabs>
        <w:ind w:left="720" w:right="-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пункт 5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>Поставщики образовательных услуг денежные средства, поступающие за оказание образовательных услуг в рамках системы ПФДОД, могут направлять: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оплату труда и начисления на выплаты по оплате труда педагогических работников, непосредственно реализующих дополнительные общеобразовательные программы в рамках системы ПФДОД;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оплату труда и начисления на выплаты по оплате труда педагогических работников, необходимых для сопровождения реализации дополнительных общеобразовательных программ в рамках системы ПФДОД (педагоги-организаторы, методисты и пр.);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оплату труда и начисления на выплаты по оплате труда работников поставщиков образовательных услуг, которые не принимают непосредственного участия в реализации дополнительных общеобразовательных программ в рамках системы ПФДОД (административно-управленческий, административно-хозяйственный, учебно-вспомогательный и иной персонал).».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дополнить пунктом 6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«6.</w:t>
      </w:r>
      <w:r>
        <w:rPr>
          <w:rFonts w:cs="Times New Roman" w:ascii="Times New Roman" w:hAnsi="Times New Roman"/>
          <w:color w:val="4444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Начиная с 15 ноября 2022 года расходы: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оплату труда и начисления на выплаты по оплате труда педагогических работников, непосредственно реализующих дополнительные общеобразовательные программы в рамках системы ПФДОД, не должны превышать 70% всех полученных доходов, поступивших в рамках системы ПФДОД;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оплату труда и начисления на выплаты по оплате труда педагогических работников, необходимых для сопровождения реализации дополнительных общеобразовательных программ в рамках системы ПФДОД (педагоги-организаторы, методисты, и пр.), не должны превышать 10%, всех полученных доходов, поступивших в рамках системы ПФДОД;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оплату труда и начисления на выплаты по оплате труда работников поставщиков образовательных услуг, которые не принимают непосредственного участия в реализации дополнительных общеобразовательных программ в рамках системы ПФДОД (административно-управленческий, административно-хозяйственный, учебно-вспомогательный и иной персонал), не должны превышать 20% всех полученных доходов, поступивших в рамках системы ПФДОД.».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993" w:leader="none"/>
        </w:tabs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Глава муниципального образования   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             В.В. Ильин</w:t>
      </w:r>
    </w:p>
    <w:sectPr>
      <w:headerReference w:type="default" r:id="rId3"/>
      <w:type w:val="nextPage"/>
      <w:pgSz w:w="11906" w:h="16838"/>
      <w:pgMar w:left="1134" w:right="567" w:gutter="0" w:header="709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24" w:hanging="12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6"/>
      <w:szCs w:val="16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567" w:hanging="0"/>
      <w:jc w:val="both"/>
      <w:outlineLvl w:val="0"/>
    </w:pPr>
    <w:rPr>
      <w:rFonts w:ascii="Times New Roman" w:hAnsi="Times New Roman" w:cs="Times New Roman"/>
      <w:sz w:val="28"/>
    </w:rPr>
  </w:style>
  <w:style w:type="paragraph" w:styleId="4">
    <w:name w:val="Heading 4"/>
    <w:basedOn w:val="Normal"/>
    <w:next w:val="Normal"/>
    <w:link w:val="40"/>
    <w:qFormat/>
    <w:rsid w:val="00297171"/>
    <w:pPr>
      <w:keepNext w:val="true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link w:val="4"/>
    <w:qFormat/>
    <w:rsid w:val="007b7bdf"/>
    <w:rPr>
      <w:b/>
      <w:bCs/>
      <w:sz w:val="28"/>
      <w:szCs w:val="28"/>
    </w:rPr>
  </w:style>
  <w:style w:type="character" w:styleId="Style12" w:customStyle="1">
    <w:name w:val="Текст выноски Знак"/>
    <w:link w:val="a4"/>
    <w:uiPriority w:val="99"/>
    <w:semiHidden/>
    <w:qFormat/>
    <w:rsid w:val="00cc3f64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link w:val="a6"/>
    <w:uiPriority w:val="99"/>
    <w:qFormat/>
    <w:rsid w:val="001512d9"/>
    <w:rPr>
      <w:rFonts w:ascii="Courier New" w:hAnsi="Courier New" w:cs="Courier New"/>
      <w:sz w:val="16"/>
      <w:szCs w:val="16"/>
    </w:rPr>
  </w:style>
  <w:style w:type="character" w:styleId="Style14" w:customStyle="1">
    <w:name w:val="Верхний колонтитул Знак"/>
    <w:link w:val="aa"/>
    <w:uiPriority w:val="99"/>
    <w:qFormat/>
    <w:rsid w:val="0001224d"/>
    <w:rPr>
      <w:rFonts w:ascii="Courier New" w:hAnsi="Courier New" w:cs="Courier New"/>
      <w:sz w:val="16"/>
      <w:szCs w:val="16"/>
    </w:rPr>
  </w:style>
  <w:style w:type="character" w:styleId="Style15" w:customStyle="1">
    <w:name w:val="Нижний колонтитул Знак"/>
    <w:link w:val="ac"/>
    <w:uiPriority w:val="99"/>
    <w:qFormat/>
    <w:rsid w:val="0001224d"/>
    <w:rPr>
      <w:rFonts w:ascii="Courier New" w:hAnsi="Courier New" w:cs="Courier New"/>
      <w:sz w:val="16"/>
      <w:szCs w:val="16"/>
    </w:rPr>
  </w:style>
  <w:style w:type="character" w:styleId="Fontstyle01" w:customStyle="1">
    <w:name w:val="fontstyle01"/>
    <w:qFormat/>
    <w:rsid w:val="001a5bc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uiPriority w:val="99"/>
    <w:unhideWhenUsed/>
    <w:rsid w:val="001512d9"/>
    <w:pPr>
      <w:spacing w:before="0" w:after="120"/>
    </w:pPr>
    <w:rPr>
      <w:rFonts w:cs="Times New Roman"/>
      <w:lang w:val="x-none" w:eastAsia="x-none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Body Text Indent"/>
    <w:basedOn w:val="Normal"/>
    <w:pPr>
      <w:ind w:left="720" w:firstLine="567"/>
    </w:pPr>
    <w:rPr>
      <w:rFonts w:ascii="Times New Roman" w:hAnsi="Times New Roman" w:cs="Times New Roman"/>
      <w:sz w:val="28"/>
    </w:rPr>
  </w:style>
  <w:style w:type="paragraph" w:styleId="ConsNormal" w:customStyle="1">
    <w:name w:val="ConsNormal"/>
    <w:qFormat/>
    <w:rsid w:val="00e1470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c3f64"/>
    <w:pPr/>
    <w:rPr>
      <w:rFonts w:ascii="Tahoma" w:hAnsi="Tahoma" w:cs="Times New Roman"/>
      <w:lang w:val="x-none" w:eastAsia="x-none"/>
    </w:rPr>
  </w:style>
  <w:style w:type="paragraph" w:styleId="Style22" w:customStyle="1">
    <w:name w:val="Знак"/>
    <w:basedOn w:val="Normal"/>
    <w:qFormat/>
    <w:rsid w:val="001512d9"/>
    <w:pPr/>
    <w:rPr>
      <w:rFonts w:ascii="Verdana" w:hAnsi="Verdana" w:cs="Verdan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1512d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01224d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  <w:lang w:val="x-none" w:eastAsia="x-none"/>
    </w:rPr>
  </w:style>
  <w:style w:type="paragraph" w:styleId="Style25">
    <w:name w:val="Footer"/>
    <w:basedOn w:val="Normal"/>
    <w:link w:val="ad"/>
    <w:uiPriority w:val="99"/>
    <w:unhideWhenUsed/>
    <w:rsid w:val="0001224d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04391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b732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D752-DADF-47A2-8E08-9BD18725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LibreOffice/7.2.4.1$Windows_X86_64 LibreOffice_project/27d75539669ac387bb498e35313b970b7fe9c4f9</Application>
  <AppVersion>15.0000</AppVersion>
  <Pages>2</Pages>
  <Words>395</Words>
  <Characters>2975</Characters>
  <CharactersWithSpaces>3390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2022-08-26T12:59:00Z</dcterms:created>
  <dc:creator>USER</dc:creator>
  <dc:description/>
  <dc:language>ru-RU</dc:language>
  <cp:lastModifiedBy/>
  <cp:lastPrinted>2022-09-14T16:37:37Z</cp:lastPrinted>
  <dcterms:modified xsi:type="dcterms:W3CDTF">2022-09-14T16:37:42Z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