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right"/>
        <w:rPr>
          <w:rFonts w:eastAsia="Calibri" w:eastAsiaTheme="minorHAnsi"/>
          <w:sz w:val="28"/>
          <w:szCs w:val="28"/>
          <w:lang w:eastAsia="en-US"/>
        </w:rPr>
      </w:pPr>
      <w:r>
        <w:rPr>
          <w:rFonts w:eastAsia="Calibri" w:eastAsiaTheme="minorHAnsi"/>
          <w:sz w:val="28"/>
          <w:szCs w:val="28"/>
          <w:lang w:eastAsia="en-US"/>
        </w:rPr>
        <w:t>Утверждена</w:t>
      </w:r>
    </w:p>
    <w:p>
      <w:pPr>
        <w:pStyle w:val="Normal"/>
        <w:jc w:val="right"/>
        <w:rPr>
          <w:rFonts w:eastAsia="Calibri" w:eastAsiaTheme="minorHAnsi"/>
          <w:sz w:val="28"/>
          <w:szCs w:val="28"/>
          <w:lang w:eastAsia="en-US"/>
        </w:rPr>
      </w:pPr>
      <w:r>
        <w:rPr>
          <w:rFonts w:eastAsia="Calibri" w:eastAsiaTheme="minorHAnsi"/>
          <w:sz w:val="28"/>
          <w:szCs w:val="28"/>
          <w:lang w:eastAsia="en-US"/>
        </w:rPr>
        <w:t xml:space="preserve"> </w:t>
      </w:r>
      <w:r>
        <w:rPr>
          <w:rFonts w:eastAsia="Calibri" w:eastAsiaTheme="minorHAnsi"/>
          <w:sz w:val="28"/>
          <w:szCs w:val="28"/>
          <w:lang w:eastAsia="en-US"/>
        </w:rPr>
        <w:t>постановлением Администрации муниципального</w:t>
      </w:r>
    </w:p>
    <w:p>
      <w:pPr>
        <w:pStyle w:val="Normal"/>
        <w:jc w:val="right"/>
        <w:rPr>
          <w:rFonts w:eastAsia="Calibri" w:eastAsiaTheme="minorHAnsi"/>
          <w:sz w:val="28"/>
          <w:szCs w:val="28"/>
          <w:lang w:eastAsia="en-US"/>
        </w:rPr>
      </w:pPr>
      <w:r>
        <w:rPr>
          <w:rFonts w:eastAsia="Calibri" w:eastAsiaTheme="minorHAnsi"/>
          <w:sz w:val="28"/>
          <w:szCs w:val="28"/>
          <w:lang w:eastAsia="en-US"/>
        </w:rPr>
        <w:t>образования «Рославльский район»</w:t>
      </w:r>
    </w:p>
    <w:p>
      <w:pPr>
        <w:pStyle w:val="Normal"/>
        <w:jc w:val="right"/>
        <w:rPr>
          <w:rFonts w:eastAsia="Calibri" w:eastAsiaTheme="minorHAnsi"/>
          <w:sz w:val="28"/>
          <w:szCs w:val="28"/>
          <w:lang w:eastAsia="en-US"/>
        </w:rPr>
      </w:pPr>
      <w:r>
        <w:rPr>
          <w:rFonts w:eastAsia="Calibri" w:eastAsiaTheme="minorHAnsi"/>
          <w:sz w:val="28"/>
          <w:szCs w:val="28"/>
          <w:lang w:eastAsia="en-US"/>
        </w:rPr>
        <w:t>Смоленской области</w:t>
      </w:r>
    </w:p>
    <w:p>
      <w:pPr>
        <w:pStyle w:val="Normal"/>
        <w:jc w:val="right"/>
        <w:rPr>
          <w:rFonts w:ascii="TimesNewRoman" w:hAnsi="TimesNewRoman" w:eastAsia="Calibri" w:cs="TimesNewRoman" w:eastAsiaTheme="minorHAnsi"/>
          <w:sz w:val="28"/>
          <w:szCs w:val="28"/>
          <w:lang w:eastAsia="en-US"/>
        </w:rPr>
      </w:pPr>
      <w:r>
        <w:rPr>
          <w:rFonts w:eastAsia="Calibri" w:eastAsiaTheme="minorHAnsi"/>
          <w:sz w:val="28"/>
          <w:szCs w:val="28"/>
          <w:lang w:eastAsia="en-US"/>
        </w:rPr>
        <w:t xml:space="preserve">от </w:t>
      </w:r>
      <w:r>
        <w:rPr>
          <w:rFonts w:eastAsia="Calibri" w:eastAsiaTheme="minorHAnsi"/>
          <w:sz w:val="28"/>
          <w:szCs w:val="28"/>
          <w:lang w:eastAsia="en-US"/>
        </w:rPr>
        <w:t>05.03.2022 № 245</w:t>
      </w:r>
    </w:p>
    <w:p>
      <w:pPr>
        <w:pStyle w:val="Normal"/>
        <w:jc w:val="both"/>
        <w:rPr>
          <w:rFonts w:eastAsia="Calibri" w:eastAsiaTheme="minorHAnsi"/>
          <w:sz w:val="28"/>
          <w:szCs w:val="28"/>
          <w:lang w:eastAsia="en-US"/>
        </w:rPr>
      </w:pPr>
      <w:r>
        <w:rPr>
          <w:rFonts w:eastAsia="Calibri" w:eastAsiaTheme="minorHAnsi"/>
          <w:sz w:val="28"/>
          <w:szCs w:val="28"/>
          <w:lang w:eastAsia="en-US"/>
        </w:rPr>
      </w:r>
    </w:p>
    <w:p>
      <w:pPr>
        <w:pStyle w:val="Normal"/>
        <w:ind w:firstLine="708"/>
        <w:jc w:val="both"/>
        <w:rPr>
          <w:rFonts w:eastAsia="Calibri" w:eastAsiaTheme="minorHAnsi"/>
          <w:sz w:val="28"/>
          <w:szCs w:val="28"/>
          <w:lang w:eastAsia="en-US"/>
        </w:rPr>
      </w:pPr>
      <w:r>
        <w:rPr>
          <w:rFonts w:eastAsia="Calibri" w:eastAsiaTheme="minorHAnsi"/>
          <w:sz w:val="28"/>
          <w:szCs w:val="28"/>
          <w:lang w:eastAsia="en-US"/>
        </w:rPr>
      </w:r>
    </w:p>
    <w:p>
      <w:pPr>
        <w:pStyle w:val="Normal"/>
        <w:jc w:val="center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Программа </w:t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bCs/>
          <w:sz w:val="28"/>
          <w:szCs w:val="28"/>
        </w:rPr>
        <w:t>профилактики рисков причинения вреда (ущерба) охраняемым законом ценностям по осуществлению муниципального жилищного контроля в Остерском сельском поселении Рославльского района Смоленской области на 2022 год</w:t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Общие положения</w:t>
      </w:r>
    </w:p>
    <w:p>
      <w:pPr>
        <w:pStyle w:val="Normal"/>
        <w:ind w:firstLine="708"/>
        <w:jc w:val="both"/>
        <w:rPr>
          <w:rFonts w:eastAsia="Calibri" w:eastAsiaTheme="minorHAnsi"/>
          <w:sz w:val="28"/>
          <w:szCs w:val="28"/>
          <w:lang w:eastAsia="en-US"/>
        </w:rPr>
      </w:pPr>
      <w:r>
        <w:rPr>
          <w:bCs/>
          <w:sz w:val="28"/>
          <w:szCs w:val="28"/>
        </w:rPr>
        <w:t xml:space="preserve">1. Программа профилактики рисков причинения вреда (ущерба) охраняемым законом ценностям по осуществления муниципального жилищного контроля в Остерском сельском поселении Рославльского района Смоленской области на 2022 год (далее – Программа профилактики) </w:t>
      </w:r>
      <w:r>
        <w:rPr>
          <w:rFonts w:eastAsia="Calibri" w:eastAsiaTheme="minorHAnsi"/>
          <w:sz w:val="28"/>
          <w:szCs w:val="28"/>
          <w:lang w:eastAsia="en-US"/>
        </w:rPr>
        <w:t xml:space="preserve"> устанавливает порядок проведения профилактических мероприятий, направленных на предупреждение причинения вреда (ущерба) охраняемым законом ценностям, соблюдение которых оценивается в рамках исполнения муниципальной функции - муниципального жилищного контроля в Остерском сельском поселении Рославльского района Смоленской области (далее - муниципальный контроль).</w:t>
      </w:r>
    </w:p>
    <w:p>
      <w:pPr>
        <w:pStyle w:val="Normal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2. Программа профилактики разработана в соответствии с:</w:t>
      </w:r>
    </w:p>
    <w:p>
      <w:pPr>
        <w:pStyle w:val="Normal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1) Жилищным кодексом Российской Федерации;</w:t>
      </w:r>
    </w:p>
    <w:p>
      <w:pPr>
        <w:pStyle w:val="Normal"/>
        <w:ind w:firstLine="708"/>
        <w:jc w:val="both"/>
        <w:rPr>
          <w:sz w:val="28"/>
          <w:szCs w:val="28"/>
        </w:rPr>
      </w:pPr>
      <w:r>
        <w:rPr>
          <w:bCs/>
          <w:sz w:val="28"/>
          <w:szCs w:val="28"/>
        </w:rPr>
        <w:t>2) Федеральным законом от 06.10.2003 № 131-ФЗ «Об общих принципах организации местного самоуправления в Российской Федерации»;</w:t>
      </w:r>
    </w:p>
    <w:p>
      <w:pPr>
        <w:pStyle w:val="Normal"/>
        <w:ind w:firstLine="708"/>
        <w:jc w:val="both"/>
        <w:rPr>
          <w:rFonts w:eastAsia="Calibri" w:eastAsiaTheme="minorHAnsi"/>
          <w:sz w:val="28"/>
          <w:szCs w:val="28"/>
          <w:lang w:eastAsia="en-US"/>
        </w:rPr>
      </w:pPr>
      <w:r>
        <w:rPr>
          <w:rFonts w:eastAsia="Calibri" w:eastAsiaTheme="minorHAnsi"/>
          <w:sz w:val="28"/>
          <w:szCs w:val="28"/>
          <w:lang w:eastAsia="en-US"/>
        </w:rPr>
        <w:t>3) Федеральным законом от 31.07.2020 № 248-ФЗ «О государственном контроле (надзоре) и муниципальном контроле в Российской Федерации» (далее – Федеральный закон № 248-ФЗ);</w:t>
      </w:r>
    </w:p>
    <w:p>
      <w:pPr>
        <w:pStyle w:val="Normal"/>
        <w:ind w:firstLine="708"/>
        <w:jc w:val="both"/>
        <w:rPr>
          <w:rFonts w:eastAsia="Calibri" w:eastAsiaTheme="minorHAnsi"/>
          <w:sz w:val="28"/>
          <w:szCs w:val="28"/>
          <w:lang w:eastAsia="en-US"/>
        </w:rPr>
      </w:pPr>
      <w:r>
        <w:rPr>
          <w:rFonts w:eastAsia="Calibri" w:eastAsiaTheme="minorHAnsi"/>
          <w:sz w:val="28"/>
          <w:szCs w:val="28"/>
          <w:lang w:eastAsia="en-US"/>
        </w:rPr>
        <w:t>4) Постановлением Правительства Российской Федерации от 25.06.2021 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ценностям»;</w:t>
      </w:r>
    </w:p>
    <w:p>
      <w:pPr>
        <w:pStyle w:val="Normal"/>
        <w:ind w:firstLine="708"/>
        <w:jc w:val="both"/>
        <w:rPr>
          <w:rFonts w:eastAsia="Calibri" w:eastAsiaTheme="minorHAnsi"/>
          <w:sz w:val="28"/>
          <w:szCs w:val="28"/>
          <w:lang w:eastAsia="en-US"/>
        </w:rPr>
      </w:pPr>
      <w:r>
        <w:rPr>
          <w:rFonts w:eastAsia="Calibri" w:eastAsiaTheme="minorHAnsi"/>
          <w:sz w:val="28"/>
          <w:szCs w:val="28"/>
          <w:lang w:eastAsia="en-US"/>
        </w:rPr>
        <w:t>5) Положением о муниципальном жилищном контроле в Остерском сельском поселении Рославльского района Смоленской области, утвержденным решением Совета депутатов Остерского сельского поселения Рославльского района Смоленской области от 10.11.2021 № 22.</w:t>
      </w:r>
    </w:p>
    <w:p>
      <w:pPr>
        <w:pStyle w:val="Normal"/>
        <w:ind w:firstLine="708"/>
        <w:jc w:val="both"/>
        <w:rPr>
          <w:rFonts w:eastAsia="Calibri" w:eastAsiaTheme="minorHAnsi"/>
          <w:sz w:val="28"/>
          <w:szCs w:val="28"/>
          <w:lang w:eastAsia="en-US"/>
        </w:rPr>
      </w:pPr>
      <w:r>
        <w:rPr>
          <w:rFonts w:eastAsia="Calibri" w:eastAsiaTheme="minorHAnsi"/>
          <w:sz w:val="28"/>
          <w:szCs w:val="28"/>
          <w:lang w:eastAsia="en-US"/>
        </w:rPr>
        <w:t>3. Администрация муниципального образования «Рославльский район» Смоленской области в лице Комитета жилищного-коммунального хозяйства, энергетики, дорог и транспорта Администрации муниципального образования «Рославльский район» Смоленской области (далее – Комитет ЖКХ) осуществляет учет проведенных профилактических мероприятий.</w:t>
      </w:r>
    </w:p>
    <w:p>
      <w:pPr>
        <w:pStyle w:val="Normal"/>
        <w:ind w:firstLine="708"/>
        <w:jc w:val="both"/>
        <w:rPr>
          <w:rFonts w:eastAsia="Calibri" w:eastAsiaTheme="minorHAnsi"/>
          <w:sz w:val="28"/>
          <w:szCs w:val="28"/>
          <w:lang w:eastAsia="en-US"/>
        </w:rPr>
      </w:pPr>
      <w:r>
        <w:rPr>
          <w:rFonts w:eastAsia="Calibri" w:eastAsiaTheme="minorHAnsi"/>
          <w:sz w:val="28"/>
          <w:szCs w:val="28"/>
          <w:lang w:eastAsia="en-US"/>
        </w:rPr>
      </w:r>
    </w:p>
    <w:p>
      <w:pPr>
        <w:pStyle w:val="Normal"/>
        <w:ind w:firstLine="708"/>
        <w:jc w:val="center"/>
        <w:rPr>
          <w:rFonts w:eastAsia="Calibri" w:eastAsiaTheme="minorHAnsi"/>
          <w:b/>
          <w:b/>
          <w:sz w:val="28"/>
          <w:szCs w:val="28"/>
          <w:lang w:eastAsia="en-US"/>
        </w:rPr>
      </w:pPr>
      <w:r>
        <w:rPr>
          <w:rFonts w:eastAsia="Calibri" w:eastAsiaTheme="minorHAnsi"/>
          <w:b/>
          <w:sz w:val="28"/>
          <w:szCs w:val="28"/>
          <w:lang w:eastAsia="en-US"/>
        </w:rPr>
        <w:t xml:space="preserve">Анализ текущего состояния осуществления муниципального контроля, характеристика проблем, на решение которых направлена Программа профилактики </w:t>
      </w:r>
    </w:p>
    <w:p>
      <w:pPr>
        <w:pStyle w:val="Normal"/>
        <w:ind w:firstLine="708"/>
        <w:jc w:val="both"/>
        <w:rPr>
          <w:rFonts w:eastAsia="Calibri" w:eastAsiaTheme="minorHAnsi"/>
          <w:sz w:val="28"/>
          <w:szCs w:val="28"/>
          <w:lang w:eastAsia="en-US"/>
        </w:rPr>
      </w:pPr>
      <w:r>
        <w:rPr>
          <w:rFonts w:eastAsia="Calibri" w:eastAsiaTheme="minorHAnsi"/>
          <w:sz w:val="28"/>
          <w:szCs w:val="28"/>
          <w:lang w:eastAsia="en-US"/>
        </w:rPr>
        <w:t>4. В зависимости от объекта, в отношении которого осуществляется муниципальный контроль, выделяются следующие контролируемые лица:</w:t>
      </w:r>
    </w:p>
    <w:p>
      <w:pPr>
        <w:pStyle w:val="Normal"/>
        <w:ind w:firstLine="708"/>
        <w:jc w:val="both"/>
        <w:rPr>
          <w:rFonts w:eastAsia="Calibri" w:eastAsiaTheme="minorHAnsi"/>
          <w:sz w:val="28"/>
          <w:szCs w:val="28"/>
          <w:lang w:eastAsia="en-US"/>
        </w:rPr>
      </w:pPr>
      <w:r>
        <w:rPr>
          <w:rFonts w:eastAsia="Calibri" w:eastAsiaTheme="minorHAnsi"/>
          <w:sz w:val="28"/>
          <w:szCs w:val="28"/>
          <w:lang w:eastAsia="en-US"/>
        </w:rPr>
        <w:t>1) юридические лица, осуществляющие деятельность по управлению многоквартирными жилыми домами;</w:t>
      </w:r>
    </w:p>
    <w:p>
      <w:pPr>
        <w:pStyle w:val="Normal"/>
        <w:ind w:firstLine="708"/>
        <w:jc w:val="both"/>
        <w:rPr>
          <w:rFonts w:eastAsia="Calibri" w:eastAsiaTheme="minorHAnsi"/>
          <w:sz w:val="28"/>
          <w:szCs w:val="28"/>
          <w:lang w:eastAsia="en-US"/>
        </w:rPr>
      </w:pPr>
      <w:r>
        <w:rPr>
          <w:rFonts w:eastAsia="Calibri" w:eastAsiaTheme="minorHAnsi"/>
          <w:sz w:val="28"/>
          <w:szCs w:val="28"/>
          <w:lang w:eastAsia="en-US"/>
        </w:rPr>
        <w:t>2) юридические лица, осуществляющие деятельность по обслуживанию многоквартирных жилых домов;</w:t>
      </w:r>
    </w:p>
    <w:p>
      <w:pPr>
        <w:pStyle w:val="Normal"/>
        <w:ind w:firstLine="708"/>
        <w:jc w:val="both"/>
        <w:rPr>
          <w:rFonts w:eastAsia="Calibri" w:eastAsiaTheme="minorHAnsi"/>
          <w:sz w:val="28"/>
          <w:szCs w:val="28"/>
          <w:lang w:eastAsia="en-US"/>
        </w:rPr>
      </w:pPr>
      <w:r>
        <w:rPr>
          <w:rFonts w:eastAsia="Calibri" w:eastAsiaTheme="minorHAnsi"/>
          <w:sz w:val="28"/>
          <w:szCs w:val="28"/>
          <w:lang w:eastAsia="en-US"/>
        </w:rPr>
        <w:t>3) граждане – наниматели жилых помещений.</w:t>
      </w:r>
    </w:p>
    <w:p>
      <w:pPr>
        <w:pStyle w:val="Normal"/>
        <w:ind w:firstLine="708"/>
        <w:jc w:val="both"/>
        <w:rPr>
          <w:rFonts w:eastAsia="Calibri" w:eastAsiaTheme="minorHAnsi"/>
          <w:bCs/>
          <w:sz w:val="28"/>
          <w:szCs w:val="28"/>
          <w:lang w:eastAsia="en-US"/>
        </w:rPr>
      </w:pPr>
      <w:r>
        <w:rPr>
          <w:rFonts w:eastAsia="Calibri" w:eastAsiaTheme="minorHAnsi"/>
          <w:sz w:val="28"/>
          <w:szCs w:val="28"/>
          <w:lang w:eastAsia="en-US"/>
        </w:rPr>
        <w:t xml:space="preserve">5. За текущий период 2021 года в рамках муниципального контроля </w:t>
      </w:r>
      <w:r>
        <w:rPr>
          <w:rFonts w:eastAsia="Calibri" w:eastAsiaTheme="minorHAnsi"/>
          <w:bCs/>
          <w:sz w:val="28"/>
          <w:szCs w:val="28"/>
          <w:lang w:eastAsia="en-US"/>
        </w:rPr>
        <w:t>в Остерском сельском поселении Рославльского района Смоленской области плановые и внеплановые проверки не проводились.</w:t>
      </w:r>
    </w:p>
    <w:p>
      <w:pPr>
        <w:pStyle w:val="Normal"/>
        <w:ind w:firstLine="708"/>
        <w:jc w:val="both"/>
        <w:rPr>
          <w:rFonts w:eastAsia="Calibri" w:eastAsiaTheme="minorHAnsi"/>
          <w:bCs/>
          <w:sz w:val="28"/>
          <w:szCs w:val="28"/>
          <w:lang w:eastAsia="en-US"/>
        </w:rPr>
      </w:pPr>
      <w:r>
        <w:rPr>
          <w:rFonts w:eastAsia="Calibri" w:eastAsiaTheme="minorHAnsi"/>
          <w:bCs/>
          <w:sz w:val="28"/>
          <w:szCs w:val="28"/>
          <w:lang w:eastAsia="en-US"/>
        </w:rPr>
        <w:t>Эксперты и представители экспертных организаций к проведению проверок не привлекались.</w:t>
      </w:r>
    </w:p>
    <w:p>
      <w:pPr>
        <w:pStyle w:val="Normal"/>
        <w:ind w:firstLine="708"/>
        <w:jc w:val="both"/>
        <w:rPr>
          <w:rFonts w:eastAsia="Calibri" w:eastAsiaTheme="minorHAnsi"/>
          <w:bCs/>
          <w:sz w:val="28"/>
          <w:szCs w:val="28"/>
          <w:lang w:eastAsia="en-US"/>
        </w:rPr>
      </w:pPr>
      <w:r>
        <w:rPr>
          <w:rFonts w:eastAsia="Calibri" w:eastAsiaTheme="minorHAnsi"/>
          <w:bCs/>
          <w:sz w:val="28"/>
          <w:szCs w:val="28"/>
          <w:lang w:eastAsia="en-US"/>
        </w:rPr>
        <w:t>Практика выдачи предостережений о недопустимости нарушений обязательных требований при осуществлении муниципального контроля контролируемым лицам не применялась.</w:t>
      </w:r>
    </w:p>
    <w:p>
      <w:pPr>
        <w:pStyle w:val="Normal"/>
        <w:ind w:firstLine="708"/>
        <w:jc w:val="both"/>
        <w:rPr>
          <w:rFonts w:eastAsia="Calibri" w:eastAsiaTheme="minorHAnsi"/>
          <w:bCs/>
          <w:sz w:val="28"/>
          <w:szCs w:val="28"/>
          <w:lang w:eastAsia="en-US"/>
        </w:rPr>
      </w:pPr>
      <w:r>
        <w:rPr>
          <w:rFonts w:eastAsia="Calibri" w:eastAsiaTheme="minorHAnsi"/>
          <w:bCs/>
          <w:sz w:val="28"/>
          <w:szCs w:val="28"/>
          <w:lang w:eastAsia="en-US"/>
        </w:rPr>
        <w:t>Случаи причинения контролируемыми лицами вреда охраняемым законом ценностям, а также случаи возникновения чрезвычайных ситуаций природного и техногенного характера не установлены.</w:t>
      </w:r>
    </w:p>
    <w:p>
      <w:pPr>
        <w:pStyle w:val="Normal"/>
        <w:ind w:firstLine="708"/>
        <w:jc w:val="both"/>
        <w:rPr>
          <w:rFonts w:eastAsia="Calibri" w:eastAsiaTheme="minorHAnsi"/>
          <w:bCs/>
          <w:sz w:val="28"/>
          <w:szCs w:val="28"/>
          <w:lang w:eastAsia="en-US"/>
        </w:rPr>
      </w:pPr>
      <w:r>
        <w:rPr>
          <w:rFonts w:eastAsia="Calibri" w:eastAsiaTheme="minorHAnsi"/>
          <w:bCs/>
          <w:sz w:val="28"/>
          <w:szCs w:val="28"/>
          <w:lang w:eastAsia="en-US"/>
        </w:rPr>
        <w:t xml:space="preserve">6. В целях профилактики нарушений обязательных требований, соблюдение которых проверяется в ходе осуществления муниципального контроля, в 2021 году </w:t>
      </w:r>
      <w:r>
        <w:rPr>
          <w:rFonts w:eastAsia="Calibri" w:eastAsiaTheme="minorHAnsi"/>
          <w:sz w:val="28"/>
          <w:szCs w:val="28"/>
          <w:lang w:eastAsia="en-US"/>
        </w:rPr>
        <w:t xml:space="preserve">Комитетом ЖКХ </w:t>
      </w:r>
      <w:r>
        <w:rPr>
          <w:rFonts w:eastAsia="Calibri" w:eastAsiaTheme="minorHAnsi"/>
          <w:bCs/>
          <w:sz w:val="28"/>
          <w:szCs w:val="28"/>
          <w:lang w:eastAsia="en-US"/>
        </w:rPr>
        <w:t>осуществлено информирование контролируемых лиц о необходимости соблюдения обязательных требований.</w:t>
      </w:r>
    </w:p>
    <w:p>
      <w:pPr>
        <w:pStyle w:val="Normal"/>
        <w:ind w:firstLine="708"/>
        <w:jc w:val="both"/>
        <w:rPr>
          <w:rFonts w:eastAsia="Calibri" w:eastAsiaTheme="minorHAnsi"/>
          <w:bCs/>
          <w:sz w:val="28"/>
          <w:szCs w:val="28"/>
          <w:lang w:eastAsia="en-US"/>
        </w:rPr>
      </w:pPr>
      <w:r>
        <w:rPr>
          <w:rFonts w:eastAsia="Calibri" w:eastAsiaTheme="minorHAnsi"/>
          <w:bCs/>
          <w:sz w:val="28"/>
          <w:szCs w:val="28"/>
          <w:lang w:eastAsia="en-US"/>
        </w:rPr>
        <w:t>В процессе осуществления муниципального контроля ведется информативно-разъяснительная работа с контролируемыми лицами (оказывается консультативная помощь, даются разъяснения по вопросам соблюдения обязательных требований).</w:t>
      </w:r>
    </w:p>
    <w:p>
      <w:pPr>
        <w:pStyle w:val="Normal"/>
        <w:ind w:firstLine="708"/>
        <w:jc w:val="both"/>
        <w:rPr>
          <w:rFonts w:eastAsia="Calibri" w:eastAsiaTheme="minorHAnsi"/>
          <w:bCs/>
          <w:sz w:val="28"/>
          <w:szCs w:val="28"/>
          <w:lang w:eastAsia="en-US"/>
        </w:rPr>
      </w:pPr>
      <w:r>
        <w:rPr>
          <w:rFonts w:eastAsia="Calibri" w:eastAsiaTheme="minorHAnsi"/>
          <w:bCs/>
          <w:sz w:val="28"/>
          <w:szCs w:val="28"/>
          <w:lang w:eastAsia="en-US"/>
        </w:rPr>
        <w:t>7. К основным проблемам в муниципальном контроле, на решение которых направлена Программа профилактики, относятся: соблюдение гражданами порядка проведения переустройства или перепланировки жилого помещения в многоквартирном жилом доме, соблюдение юридическими лицами сроков по устранению аварийных ситуаций и проведения текущих ремонтов общего имущества в многоквартирном жилом доме, создание безопасных и комфортных условий для проживания граждан.</w:t>
      </w:r>
    </w:p>
    <w:p>
      <w:pPr>
        <w:pStyle w:val="Normal"/>
        <w:ind w:firstLine="708"/>
        <w:jc w:val="both"/>
        <w:rPr>
          <w:rFonts w:eastAsia="Calibri" w:eastAsiaTheme="minorHAnsi"/>
          <w:bCs/>
          <w:sz w:val="28"/>
          <w:szCs w:val="28"/>
          <w:lang w:eastAsia="en-US"/>
        </w:rPr>
      </w:pPr>
      <w:r>
        <w:rPr>
          <w:rFonts w:eastAsia="Calibri" w:eastAsiaTheme="minorHAnsi"/>
          <w:bCs/>
          <w:sz w:val="28"/>
          <w:szCs w:val="28"/>
          <w:lang w:eastAsia="en-US"/>
        </w:rPr>
      </w:r>
    </w:p>
    <w:p>
      <w:pPr>
        <w:pStyle w:val="Normal"/>
        <w:ind w:firstLine="708"/>
        <w:jc w:val="center"/>
        <w:rPr>
          <w:rFonts w:eastAsia="Calibri" w:eastAsiaTheme="minorHAnsi"/>
          <w:b/>
          <w:b/>
          <w:bCs/>
          <w:sz w:val="28"/>
          <w:szCs w:val="28"/>
          <w:lang w:eastAsia="en-US"/>
        </w:rPr>
      </w:pPr>
      <w:r>
        <w:rPr>
          <w:rFonts w:eastAsia="Calibri" w:eastAsiaTheme="minorHAnsi"/>
          <w:b/>
          <w:bCs/>
          <w:sz w:val="28"/>
          <w:szCs w:val="28"/>
          <w:lang w:eastAsia="en-US"/>
        </w:rPr>
        <w:t>Цели и задачи реализации Программы профилактики</w:t>
      </w:r>
    </w:p>
    <w:p>
      <w:pPr>
        <w:pStyle w:val="Normal"/>
        <w:ind w:firstLine="708"/>
        <w:jc w:val="both"/>
        <w:rPr>
          <w:rFonts w:eastAsia="Calibri" w:eastAsiaTheme="minorHAnsi"/>
          <w:bCs/>
          <w:sz w:val="28"/>
          <w:szCs w:val="28"/>
          <w:lang w:eastAsia="en-US"/>
        </w:rPr>
      </w:pPr>
      <w:r>
        <w:rPr>
          <w:rFonts w:eastAsia="Calibri" w:eastAsiaTheme="minorHAnsi"/>
          <w:bCs/>
          <w:sz w:val="28"/>
          <w:szCs w:val="28"/>
          <w:lang w:eastAsia="en-US"/>
        </w:rPr>
        <w:t>8. Целями реализации Программы профилактики являются:</w:t>
      </w:r>
    </w:p>
    <w:p>
      <w:pPr>
        <w:pStyle w:val="Normal"/>
        <w:ind w:firstLine="708"/>
        <w:jc w:val="both"/>
        <w:rPr>
          <w:rFonts w:eastAsia="Calibri" w:eastAsiaTheme="minorHAnsi"/>
          <w:bCs/>
          <w:sz w:val="28"/>
          <w:szCs w:val="28"/>
          <w:lang w:eastAsia="en-US"/>
        </w:rPr>
      </w:pPr>
      <w:r>
        <w:rPr>
          <w:rFonts w:eastAsia="Calibri" w:eastAsiaTheme="minorHAnsi"/>
          <w:bCs/>
          <w:sz w:val="28"/>
          <w:szCs w:val="28"/>
          <w:lang w:eastAsia="en-US"/>
        </w:rPr>
        <w:t>1) предупреждение нарушений обязательных требований в сфере муниципального контроля;</w:t>
      </w:r>
    </w:p>
    <w:p>
      <w:pPr>
        <w:pStyle w:val="Normal"/>
        <w:ind w:firstLine="708"/>
        <w:jc w:val="both"/>
        <w:rPr>
          <w:rFonts w:eastAsia="Calibri" w:eastAsiaTheme="minorHAnsi"/>
          <w:bCs/>
          <w:sz w:val="28"/>
          <w:szCs w:val="28"/>
          <w:lang w:eastAsia="en-US"/>
        </w:rPr>
      </w:pPr>
      <w:r>
        <w:rPr>
          <w:rFonts w:eastAsia="Calibri" w:eastAsiaTheme="minorHAnsi"/>
          <w:bCs/>
          <w:sz w:val="28"/>
          <w:szCs w:val="28"/>
          <w:lang w:eastAsia="en-US"/>
        </w:rPr>
        <w:t>2) предотвращение угрозы причинения, либо причинения вреда жизни, здоровью граждан вследствие нарушений обязательных требований;</w:t>
      </w:r>
    </w:p>
    <w:p>
      <w:pPr>
        <w:pStyle w:val="Normal"/>
        <w:ind w:firstLine="708"/>
        <w:jc w:val="both"/>
        <w:rPr>
          <w:rFonts w:eastAsia="Calibri" w:eastAsiaTheme="minorHAnsi"/>
          <w:bCs/>
          <w:sz w:val="28"/>
          <w:szCs w:val="28"/>
          <w:lang w:eastAsia="en-US"/>
        </w:rPr>
      </w:pPr>
      <w:r>
        <w:rPr>
          <w:rFonts w:eastAsia="Calibri" w:eastAsiaTheme="minorHAnsi"/>
          <w:bCs/>
          <w:sz w:val="28"/>
          <w:szCs w:val="28"/>
          <w:lang w:eastAsia="en-US"/>
        </w:rPr>
        <w:t>3) устранение существующих и потенциальных условий, причин и факторов, способных привести к нарушению обязательных требований и угрозе причинения, либо причинения вреда жизни, здоровью граждан;</w:t>
      </w:r>
    </w:p>
    <w:p>
      <w:pPr>
        <w:pStyle w:val="Normal"/>
        <w:ind w:firstLine="708"/>
        <w:jc w:val="both"/>
        <w:rPr>
          <w:rFonts w:eastAsia="Calibri" w:eastAsiaTheme="minorHAnsi"/>
          <w:bCs/>
          <w:sz w:val="28"/>
          <w:szCs w:val="28"/>
          <w:lang w:eastAsia="en-US"/>
        </w:rPr>
      </w:pPr>
      <w:r>
        <w:rPr>
          <w:rFonts w:eastAsia="Calibri" w:eastAsiaTheme="minorHAnsi"/>
          <w:bCs/>
          <w:sz w:val="28"/>
          <w:szCs w:val="28"/>
          <w:lang w:eastAsia="en-US"/>
        </w:rPr>
        <w:t>4) создание условий для доведения обязательных требований до контролируемых лиц, повышение информированности о способах их соблюдения;</w:t>
      </w:r>
    </w:p>
    <w:p>
      <w:pPr>
        <w:pStyle w:val="Normal"/>
        <w:ind w:firstLine="708"/>
        <w:jc w:val="both"/>
        <w:rPr>
          <w:rFonts w:eastAsia="Calibri" w:eastAsiaTheme="minorHAnsi"/>
          <w:bCs/>
          <w:sz w:val="28"/>
          <w:szCs w:val="28"/>
          <w:lang w:eastAsia="en-US"/>
        </w:rPr>
      </w:pPr>
      <w:r>
        <w:rPr>
          <w:rFonts w:eastAsia="Calibri" w:eastAsiaTheme="minorHAnsi"/>
          <w:bCs/>
          <w:sz w:val="28"/>
          <w:szCs w:val="28"/>
          <w:lang w:eastAsia="en-US"/>
        </w:rPr>
        <w:t>5) повышение прозрачности системы контрольной деятельности.</w:t>
      </w:r>
    </w:p>
    <w:p>
      <w:pPr>
        <w:pStyle w:val="Normal"/>
        <w:ind w:firstLine="708"/>
        <w:jc w:val="both"/>
        <w:rPr>
          <w:rFonts w:eastAsia="Calibri" w:eastAsiaTheme="minorHAnsi"/>
          <w:bCs/>
          <w:sz w:val="28"/>
          <w:szCs w:val="28"/>
          <w:lang w:eastAsia="en-US"/>
        </w:rPr>
      </w:pPr>
      <w:r>
        <w:rPr>
          <w:rFonts w:eastAsia="Calibri" w:eastAsiaTheme="minorHAnsi"/>
          <w:bCs/>
          <w:sz w:val="28"/>
          <w:szCs w:val="28"/>
          <w:lang w:eastAsia="en-US"/>
        </w:rPr>
        <w:t>9. Задачами реализации Программы профилактики являются:</w:t>
      </w:r>
    </w:p>
    <w:p>
      <w:pPr>
        <w:pStyle w:val="Normal"/>
        <w:ind w:firstLine="708"/>
        <w:jc w:val="both"/>
        <w:rPr>
          <w:rFonts w:eastAsia="Calibri" w:eastAsiaTheme="minorHAnsi"/>
          <w:bCs/>
          <w:sz w:val="28"/>
          <w:szCs w:val="28"/>
          <w:lang w:eastAsia="en-US"/>
        </w:rPr>
      </w:pPr>
      <w:r>
        <w:rPr>
          <w:rFonts w:eastAsia="Calibri" w:eastAsiaTheme="minorHAnsi"/>
          <w:bCs/>
          <w:sz w:val="28"/>
          <w:szCs w:val="28"/>
          <w:lang w:eastAsia="en-US"/>
        </w:rPr>
        <w:t>1) укрепление системы профилактики нарушений обязательных требований;</w:t>
      </w:r>
    </w:p>
    <w:p>
      <w:pPr>
        <w:pStyle w:val="Normal"/>
        <w:ind w:firstLine="708"/>
        <w:jc w:val="both"/>
        <w:rPr>
          <w:rFonts w:eastAsia="Calibri" w:eastAsiaTheme="minorHAnsi"/>
          <w:bCs/>
          <w:sz w:val="28"/>
          <w:szCs w:val="28"/>
          <w:lang w:eastAsia="en-US"/>
        </w:rPr>
      </w:pPr>
      <w:r>
        <w:rPr>
          <w:rFonts w:eastAsia="Calibri" w:eastAsiaTheme="minorHAnsi"/>
          <w:bCs/>
          <w:sz w:val="28"/>
          <w:szCs w:val="28"/>
          <w:lang w:eastAsia="en-US"/>
        </w:rPr>
        <w:t>2) выявление факторов угрозы причинения, либо причинения вреда жизни, здоровью граждан, причин и условий, способствующих нарушению обязательных требований, определение способов устранения или снижения угрозы;</w:t>
      </w:r>
    </w:p>
    <w:p>
      <w:pPr>
        <w:pStyle w:val="Normal"/>
        <w:ind w:firstLine="708"/>
        <w:jc w:val="both"/>
        <w:rPr>
          <w:rFonts w:eastAsia="Calibri" w:eastAsiaTheme="minorHAnsi"/>
          <w:bCs/>
          <w:sz w:val="28"/>
          <w:szCs w:val="28"/>
          <w:lang w:eastAsia="en-US"/>
        </w:rPr>
      </w:pPr>
      <w:r>
        <w:rPr>
          <w:rFonts w:eastAsia="Calibri" w:eastAsiaTheme="minorHAnsi"/>
          <w:bCs/>
          <w:sz w:val="28"/>
          <w:szCs w:val="28"/>
          <w:lang w:eastAsia="en-US"/>
        </w:rPr>
        <w:t>3) создание условий для изменения ценностного отношения контролируемых лиц к рисковому поведению, формирования позитивной ответственности за свое поведение, поддержания мотивации к добросовестному поведению.</w:t>
      </w:r>
    </w:p>
    <w:p>
      <w:pPr>
        <w:pStyle w:val="Normal"/>
        <w:ind w:firstLine="708"/>
        <w:jc w:val="both"/>
        <w:rPr>
          <w:rFonts w:eastAsia="Calibri" w:eastAsiaTheme="minorHAnsi"/>
          <w:bCs/>
          <w:sz w:val="28"/>
          <w:szCs w:val="28"/>
          <w:lang w:eastAsia="en-US"/>
        </w:rPr>
      </w:pPr>
      <w:r>
        <w:rPr>
          <w:rFonts w:eastAsia="Calibri" w:eastAsiaTheme="minorHAnsi"/>
          <w:bCs/>
          <w:sz w:val="28"/>
          <w:szCs w:val="28"/>
          <w:lang w:eastAsia="en-US"/>
        </w:rPr>
      </w:r>
    </w:p>
    <w:p>
      <w:pPr>
        <w:pStyle w:val="Normal"/>
        <w:ind w:firstLine="708"/>
        <w:jc w:val="center"/>
        <w:rPr>
          <w:rFonts w:eastAsia="Calibri" w:eastAsiaTheme="minorHAnsi"/>
          <w:b/>
          <w:b/>
          <w:bCs/>
          <w:sz w:val="28"/>
          <w:szCs w:val="28"/>
          <w:lang w:eastAsia="en-US"/>
        </w:rPr>
      </w:pPr>
      <w:r>
        <w:rPr>
          <w:rFonts w:eastAsia="Calibri" w:eastAsiaTheme="minorHAnsi"/>
          <w:b/>
          <w:bCs/>
          <w:sz w:val="28"/>
          <w:szCs w:val="28"/>
          <w:lang w:eastAsia="en-US"/>
        </w:rPr>
        <w:t>Перечень профилактических мероприятий, сроки (периодичность) их проведения</w:t>
      </w:r>
    </w:p>
    <w:tbl>
      <w:tblPr>
        <w:tblStyle w:val="a3"/>
        <w:tblW w:w="9854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532"/>
        <w:gridCol w:w="2553"/>
        <w:gridCol w:w="1842"/>
        <w:gridCol w:w="3545"/>
        <w:gridCol w:w="1382"/>
      </w:tblGrid>
      <w:tr>
        <w:trPr/>
        <w:tc>
          <w:tcPr>
            <w:tcW w:w="532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rFonts w:eastAsia="Calibri" w:eastAsiaTheme="minorHAnsi"/>
                <w:bCs/>
                <w:lang w:eastAsia="en-US"/>
              </w:rPr>
            </w:pPr>
            <w:r>
              <w:rPr>
                <w:rFonts w:eastAsia="Calibri" w:eastAsiaTheme="minorHAnsi"/>
                <w:bCs/>
                <w:kern w:val="0"/>
                <w:lang w:val="ru-RU" w:eastAsia="en-US" w:bidi="ar-SA"/>
              </w:rPr>
              <w:t>№</w:t>
            </w:r>
          </w:p>
          <w:p>
            <w:pPr>
              <w:pStyle w:val="Normal"/>
              <w:widowControl/>
              <w:spacing w:before="0" w:after="0"/>
              <w:jc w:val="center"/>
              <w:rPr>
                <w:rFonts w:eastAsia="Calibri" w:eastAsiaTheme="minorHAnsi"/>
                <w:bCs/>
                <w:lang w:eastAsia="en-US"/>
              </w:rPr>
            </w:pPr>
            <w:r>
              <w:rPr>
                <w:rFonts w:eastAsia="Calibri" w:eastAsiaTheme="minorHAnsi"/>
                <w:bCs/>
                <w:kern w:val="0"/>
                <w:lang w:val="ru-RU" w:eastAsia="en-US" w:bidi="ar-SA"/>
              </w:rPr>
              <w:t>п/п</w:t>
            </w:r>
          </w:p>
        </w:tc>
        <w:tc>
          <w:tcPr>
            <w:tcW w:w="2553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rFonts w:eastAsia="Calibri" w:eastAsiaTheme="minorHAnsi"/>
                <w:bCs/>
                <w:lang w:eastAsia="en-US"/>
              </w:rPr>
            </w:pPr>
            <w:r>
              <w:rPr>
                <w:rFonts w:eastAsia="Calibri" w:eastAsiaTheme="minorHAnsi"/>
                <w:bCs/>
                <w:kern w:val="0"/>
                <w:lang w:val="ru-RU" w:eastAsia="en-US" w:bidi="ar-SA"/>
              </w:rPr>
              <w:t>Наименование (вид) профилактического мероприятия</w:t>
            </w:r>
          </w:p>
        </w:tc>
        <w:tc>
          <w:tcPr>
            <w:tcW w:w="1842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rFonts w:eastAsia="Calibri" w:eastAsiaTheme="minorHAnsi"/>
                <w:bCs/>
                <w:lang w:eastAsia="en-US"/>
              </w:rPr>
            </w:pPr>
            <w:r>
              <w:rPr>
                <w:rFonts w:eastAsia="Calibri" w:eastAsiaTheme="minorHAnsi"/>
                <w:bCs/>
                <w:kern w:val="0"/>
                <w:lang w:val="ru-RU" w:eastAsia="en-US" w:bidi="ar-SA"/>
              </w:rPr>
              <w:t>Периодичность проведения мероприятия</w:t>
            </w:r>
          </w:p>
        </w:tc>
        <w:tc>
          <w:tcPr>
            <w:tcW w:w="3545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rFonts w:eastAsia="Calibri" w:eastAsiaTheme="minorHAnsi"/>
                <w:bCs/>
                <w:lang w:eastAsia="en-US"/>
              </w:rPr>
            </w:pPr>
            <w:r>
              <w:rPr>
                <w:rFonts w:eastAsia="Calibri" w:eastAsiaTheme="minorHAnsi"/>
                <w:bCs/>
                <w:kern w:val="0"/>
                <w:lang w:val="ru-RU" w:eastAsia="en-US" w:bidi="ar-SA"/>
              </w:rPr>
              <w:t>Содержание (форма) мероприятия Показатель выполнения мероприятия</w:t>
            </w:r>
          </w:p>
        </w:tc>
        <w:tc>
          <w:tcPr>
            <w:tcW w:w="1382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rFonts w:eastAsia="Calibri" w:eastAsiaTheme="minorHAnsi"/>
                <w:bCs/>
                <w:lang w:eastAsia="en-US"/>
              </w:rPr>
            </w:pPr>
            <w:r>
              <w:rPr>
                <w:rFonts w:eastAsia="Calibri" w:eastAsiaTheme="minorHAnsi"/>
                <w:bCs/>
                <w:kern w:val="0"/>
                <w:lang w:val="ru-RU" w:eastAsia="en-US" w:bidi="ar-SA"/>
              </w:rPr>
              <w:t>Ответственное структурное подразделение</w:t>
            </w:r>
          </w:p>
        </w:tc>
      </w:tr>
      <w:tr>
        <w:trPr/>
        <w:tc>
          <w:tcPr>
            <w:tcW w:w="532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rFonts w:eastAsia="Calibri" w:eastAsiaTheme="minorHAnsi"/>
                <w:bCs/>
                <w:lang w:eastAsia="en-US"/>
              </w:rPr>
            </w:pPr>
            <w:r>
              <w:rPr>
                <w:rFonts w:eastAsia="Calibri" w:eastAsiaTheme="minorHAnsi"/>
                <w:bCs/>
                <w:kern w:val="0"/>
                <w:lang w:val="ru-RU" w:eastAsia="en-US" w:bidi="ar-SA"/>
              </w:rPr>
              <w:t>1.</w:t>
            </w:r>
          </w:p>
        </w:tc>
        <w:tc>
          <w:tcPr>
            <w:tcW w:w="2553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rFonts w:eastAsia="Calibri" w:eastAsiaTheme="minorHAnsi"/>
                <w:bCs/>
                <w:lang w:eastAsia="en-US"/>
              </w:rPr>
            </w:pPr>
            <w:r>
              <w:rPr>
                <w:rFonts w:eastAsia="Calibri" w:eastAsiaTheme="minorHAnsi"/>
                <w:bCs/>
                <w:kern w:val="0"/>
                <w:lang w:val="ru-RU" w:eastAsia="en-US" w:bidi="ar-SA"/>
              </w:rPr>
              <w:t>Информирование</w:t>
            </w:r>
          </w:p>
        </w:tc>
        <w:tc>
          <w:tcPr>
            <w:tcW w:w="1842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rFonts w:eastAsia="Calibri" w:eastAsiaTheme="minorHAnsi"/>
                <w:bCs/>
                <w:lang w:eastAsia="en-US"/>
              </w:rPr>
            </w:pPr>
            <w:r>
              <w:rPr>
                <w:rFonts w:eastAsia="Calibri" w:eastAsiaTheme="minorHAnsi"/>
                <w:bCs/>
                <w:kern w:val="0"/>
                <w:lang w:val="ru-RU" w:eastAsia="en-US" w:bidi="ar-SA"/>
              </w:rPr>
              <w:t>Постоянно в течение года</w:t>
            </w:r>
          </w:p>
        </w:tc>
        <w:tc>
          <w:tcPr>
            <w:tcW w:w="3545" w:type="dxa"/>
            <w:tcBorders/>
          </w:tcPr>
          <w:p>
            <w:pPr>
              <w:pStyle w:val="Normal"/>
              <w:widowControl/>
              <w:spacing w:before="0" w:after="0"/>
              <w:jc w:val="both"/>
              <w:rPr>
                <w:rFonts w:eastAsia="Calibri" w:eastAsiaTheme="minorHAnsi"/>
                <w:bCs/>
                <w:lang w:eastAsia="en-US"/>
              </w:rPr>
            </w:pPr>
            <w:r>
              <w:rPr>
                <w:rFonts w:eastAsia="Calibri" w:eastAsiaTheme="minorHAnsi"/>
                <w:bCs/>
                <w:kern w:val="0"/>
                <w:lang w:val="ru-RU" w:eastAsia="en-US" w:bidi="ar-SA"/>
              </w:rPr>
              <w:t xml:space="preserve">Размещение и поддержка в актуальном состоянии на официальном сайте Администрации Остерского сельского поселения Рославльского района Смоленской области в информационно-телекоммуникационной сети «Интернет» сведений, предусмотренных </w:t>
            </w:r>
            <w:hyperlink r:id="rId2">
              <w:r>
                <w:rPr>
                  <w:rFonts w:eastAsia="Calibri" w:eastAsiaTheme="minorHAnsi"/>
                  <w:bCs/>
                  <w:color w:val="auto"/>
                  <w:kern w:val="0"/>
                  <w:u w:val="none"/>
                  <w:lang w:val="ru-RU" w:eastAsia="en-US" w:bidi="ar-SA"/>
                </w:rPr>
                <w:t>статьей 46</w:t>
              </w:r>
            </w:hyperlink>
            <w:r>
              <w:rPr>
                <w:rFonts w:eastAsia="Calibri" w:eastAsiaTheme="minorHAnsi"/>
                <w:bCs/>
                <w:kern w:val="0"/>
                <w:lang w:val="ru-RU" w:eastAsia="en-US" w:bidi="ar-SA"/>
              </w:rPr>
              <w:t xml:space="preserve"> Федерального закона № 248-ФЗ</w:t>
            </w:r>
          </w:p>
        </w:tc>
        <w:tc>
          <w:tcPr>
            <w:tcW w:w="1382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rFonts w:eastAsia="Calibri" w:eastAsiaTheme="minorHAnsi"/>
                <w:bCs/>
                <w:lang w:eastAsia="en-US"/>
              </w:rPr>
            </w:pPr>
            <w:r>
              <w:rPr>
                <w:rFonts w:eastAsia="Calibri" w:eastAsiaTheme="minorHAnsi"/>
                <w:bCs/>
                <w:kern w:val="0"/>
                <w:lang w:val="ru-RU" w:eastAsia="en-US" w:bidi="ar-SA"/>
              </w:rPr>
              <w:t>Комитет ЖКХ</w:t>
            </w:r>
          </w:p>
        </w:tc>
      </w:tr>
      <w:tr>
        <w:trPr/>
        <w:tc>
          <w:tcPr>
            <w:tcW w:w="532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rFonts w:eastAsia="Calibri" w:eastAsiaTheme="minorHAnsi"/>
                <w:bCs/>
                <w:lang w:eastAsia="en-US"/>
              </w:rPr>
            </w:pPr>
            <w:r>
              <w:rPr>
                <w:rFonts w:eastAsia="Calibri" w:eastAsiaTheme="minorHAnsi"/>
                <w:bCs/>
                <w:kern w:val="0"/>
                <w:lang w:val="ru-RU" w:eastAsia="en-US" w:bidi="ar-SA"/>
              </w:rPr>
              <w:t>2.</w:t>
            </w:r>
          </w:p>
        </w:tc>
        <w:tc>
          <w:tcPr>
            <w:tcW w:w="2553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rFonts w:eastAsia="Calibri" w:eastAsiaTheme="minorHAnsi"/>
                <w:bCs/>
                <w:lang w:eastAsia="en-US"/>
              </w:rPr>
            </w:pPr>
            <w:r>
              <w:rPr>
                <w:rFonts w:eastAsia="Calibri" w:eastAsiaTheme="minorHAnsi"/>
                <w:bCs/>
                <w:kern w:val="0"/>
                <w:lang w:val="ru-RU" w:eastAsia="en-US" w:bidi="ar-SA"/>
              </w:rPr>
              <w:t>Обобщение правоприменительной практики</w:t>
            </w:r>
          </w:p>
        </w:tc>
        <w:tc>
          <w:tcPr>
            <w:tcW w:w="1842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200" w:leader="none"/>
              </w:tabs>
              <w:spacing w:before="0" w:after="0"/>
              <w:jc w:val="center"/>
              <w:rPr>
                <w:rFonts w:eastAsia="Calibri" w:eastAsiaTheme="minorHAnsi"/>
                <w:bCs/>
                <w:lang w:eastAsia="en-US"/>
              </w:rPr>
            </w:pPr>
            <w:r>
              <w:rPr>
                <w:rFonts w:eastAsia="Calibri" w:eastAsiaTheme="minorHAnsi"/>
                <w:bCs/>
                <w:kern w:val="0"/>
                <w:lang w:val="ru-RU" w:eastAsia="en-US" w:bidi="ar-SA"/>
              </w:rPr>
              <w:t>Не позднее 1 марта года, следующего за отчетным</w:t>
            </w:r>
          </w:p>
        </w:tc>
        <w:tc>
          <w:tcPr>
            <w:tcW w:w="3545" w:type="dxa"/>
            <w:tcBorders/>
          </w:tcPr>
          <w:p>
            <w:pPr>
              <w:pStyle w:val="Normal"/>
              <w:widowControl/>
              <w:spacing w:before="0" w:after="0"/>
              <w:jc w:val="both"/>
              <w:rPr>
                <w:rFonts w:eastAsia="Calibri" w:eastAsiaTheme="minorHAnsi"/>
                <w:bCs/>
                <w:lang w:eastAsia="en-US"/>
              </w:rPr>
            </w:pPr>
            <w:r>
              <w:rPr>
                <w:rFonts w:eastAsia="Calibri" w:eastAsiaTheme="minorHAnsi"/>
                <w:bCs/>
                <w:kern w:val="0"/>
                <w:lang w:val="ru-RU" w:eastAsia="en-US" w:bidi="ar-SA"/>
              </w:rPr>
              <w:t xml:space="preserve">Подготовка и утверждение распоряжением Администрации муниципального образования «Рославльский район» Смоленской области доклада о правоприменительной практике </w:t>
            </w:r>
          </w:p>
        </w:tc>
        <w:tc>
          <w:tcPr>
            <w:tcW w:w="1382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rFonts w:eastAsia="Calibri" w:eastAsiaTheme="minorHAnsi"/>
                <w:bCs/>
                <w:lang w:eastAsia="en-US"/>
              </w:rPr>
            </w:pPr>
            <w:r>
              <w:rPr>
                <w:rFonts w:eastAsia="Calibri" w:eastAsiaTheme="minorHAnsi"/>
                <w:bCs/>
                <w:kern w:val="0"/>
                <w:lang w:val="ru-RU" w:eastAsia="en-US" w:bidi="ar-SA"/>
              </w:rPr>
              <w:t>Комитет ЖКХ</w:t>
            </w:r>
          </w:p>
        </w:tc>
      </w:tr>
      <w:tr>
        <w:trPr/>
        <w:tc>
          <w:tcPr>
            <w:tcW w:w="532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rFonts w:eastAsia="Calibri" w:eastAsiaTheme="minorHAnsi"/>
                <w:bCs/>
                <w:lang w:eastAsia="en-US"/>
              </w:rPr>
            </w:pPr>
            <w:r>
              <w:rPr>
                <w:rFonts w:eastAsia="Calibri" w:eastAsiaTheme="minorHAnsi"/>
                <w:bCs/>
                <w:kern w:val="0"/>
                <w:lang w:val="ru-RU" w:eastAsia="en-US" w:bidi="ar-SA"/>
              </w:rPr>
              <w:t>3.</w:t>
            </w:r>
          </w:p>
        </w:tc>
        <w:tc>
          <w:tcPr>
            <w:tcW w:w="2553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rFonts w:eastAsia="Calibri" w:eastAsiaTheme="minorHAnsi"/>
                <w:bCs/>
                <w:lang w:eastAsia="en-US"/>
              </w:rPr>
            </w:pPr>
            <w:r>
              <w:rPr>
                <w:rFonts w:eastAsia="Calibri" w:eastAsiaTheme="minorHAnsi"/>
                <w:bCs/>
                <w:kern w:val="0"/>
                <w:lang w:val="ru-RU" w:eastAsia="en-US" w:bidi="ar-SA"/>
              </w:rPr>
              <w:t>Объявление предостережения</w:t>
            </w:r>
          </w:p>
        </w:tc>
        <w:tc>
          <w:tcPr>
            <w:tcW w:w="1842" w:type="dxa"/>
            <w:tcBorders/>
          </w:tcPr>
          <w:p>
            <w:pPr>
              <w:pStyle w:val="Normal"/>
              <w:widowControl/>
              <w:spacing w:before="0" w:after="0"/>
              <w:jc w:val="both"/>
              <w:rPr>
                <w:rFonts w:eastAsia="Calibri" w:eastAsiaTheme="minorHAnsi"/>
                <w:bCs/>
                <w:lang w:eastAsia="en-US"/>
              </w:rPr>
            </w:pPr>
            <w:r>
              <w:rPr>
                <w:rFonts w:eastAsia="Calibri" w:eastAsiaTheme="minorHAnsi"/>
                <w:bCs/>
                <w:kern w:val="0"/>
                <w:lang w:val="ru-RU" w:eastAsia="en-US" w:bidi="ar-SA"/>
              </w:rPr>
              <w:t xml:space="preserve">При наличии сведений о готовящихся нарушениях или о признаках нарушений обязательных требований, полученных в ходе реализации мероприятий по контролю и в соответствии с Федеральным </w:t>
            </w:r>
            <w:hyperlink r:id="rId3">
              <w:r>
                <w:rPr>
                  <w:rFonts w:eastAsia="Calibri" w:eastAsiaTheme="minorHAnsi"/>
                  <w:bCs/>
                  <w:color w:val="auto"/>
                  <w:kern w:val="0"/>
                  <w:u w:val="none"/>
                  <w:lang w:val="ru-RU" w:eastAsia="en-US" w:bidi="ar-SA"/>
                </w:rPr>
                <w:t>законом</w:t>
              </w:r>
            </w:hyperlink>
            <w:r>
              <w:rPr>
                <w:rFonts w:eastAsia="Calibri" w:eastAsiaTheme="minorHAnsi"/>
                <w:bCs/>
                <w:kern w:val="0"/>
                <w:lang w:val="ru-RU" w:eastAsia="en-US" w:bidi="ar-SA"/>
              </w:rPr>
              <w:t xml:space="preserve"> № 248-ФЗ</w:t>
            </w:r>
          </w:p>
        </w:tc>
        <w:tc>
          <w:tcPr>
            <w:tcW w:w="3545" w:type="dxa"/>
            <w:tcBorders/>
          </w:tcPr>
          <w:p>
            <w:pPr>
              <w:pStyle w:val="Normal"/>
              <w:widowControl/>
              <w:spacing w:before="0" w:after="0"/>
              <w:jc w:val="both"/>
              <w:rPr>
                <w:rFonts w:eastAsia="Calibri" w:eastAsiaTheme="minorHAnsi"/>
                <w:bCs/>
                <w:lang w:eastAsia="en-US"/>
              </w:rPr>
            </w:pPr>
            <w:r>
              <w:rPr>
                <w:rFonts w:eastAsia="Calibri" w:eastAsiaTheme="minorHAnsi"/>
                <w:bCs/>
                <w:kern w:val="0"/>
                <w:lang w:val="ru-RU" w:eastAsia="en-US" w:bidi="ar-SA"/>
              </w:rPr>
              <w:t>Объявление контролируемому лицу предостережения о недопустимости нарушения обязательных требований, предложение принять меры по обеспечению соблюдения обязательных требований</w:t>
            </w:r>
          </w:p>
        </w:tc>
        <w:tc>
          <w:tcPr>
            <w:tcW w:w="1382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rFonts w:eastAsia="Calibri" w:eastAsiaTheme="minorHAnsi"/>
                <w:bCs/>
                <w:lang w:eastAsia="en-US"/>
              </w:rPr>
            </w:pPr>
            <w:r>
              <w:rPr>
                <w:rFonts w:eastAsia="Calibri" w:eastAsiaTheme="minorHAnsi"/>
                <w:bCs/>
                <w:kern w:val="0"/>
                <w:lang w:val="ru-RU" w:eastAsia="en-US" w:bidi="ar-SA"/>
              </w:rPr>
              <w:t>Комитет ЖКХ</w:t>
            </w:r>
          </w:p>
        </w:tc>
      </w:tr>
      <w:tr>
        <w:trPr/>
        <w:tc>
          <w:tcPr>
            <w:tcW w:w="532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rFonts w:eastAsia="Calibri" w:eastAsiaTheme="minorHAnsi"/>
                <w:bCs/>
                <w:lang w:eastAsia="en-US"/>
              </w:rPr>
            </w:pPr>
            <w:r>
              <w:rPr>
                <w:rFonts w:eastAsia="Calibri" w:eastAsiaTheme="minorHAnsi"/>
                <w:bCs/>
                <w:kern w:val="0"/>
                <w:lang w:val="ru-RU" w:eastAsia="en-US" w:bidi="ar-SA"/>
              </w:rPr>
              <w:t>4.</w:t>
            </w:r>
          </w:p>
        </w:tc>
        <w:tc>
          <w:tcPr>
            <w:tcW w:w="2553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rFonts w:eastAsia="Calibri" w:eastAsiaTheme="minorHAnsi"/>
                <w:bCs/>
                <w:lang w:eastAsia="en-US"/>
              </w:rPr>
            </w:pPr>
            <w:r>
              <w:rPr>
                <w:rFonts w:eastAsia="Calibri" w:eastAsiaTheme="minorHAnsi"/>
                <w:bCs/>
                <w:kern w:val="0"/>
                <w:lang w:val="ru-RU" w:eastAsia="en-US" w:bidi="ar-SA"/>
              </w:rPr>
              <w:t>Консультирование</w:t>
            </w:r>
          </w:p>
        </w:tc>
        <w:tc>
          <w:tcPr>
            <w:tcW w:w="1842" w:type="dxa"/>
            <w:tcBorders/>
          </w:tcPr>
          <w:p>
            <w:pPr>
              <w:pStyle w:val="Normal"/>
              <w:widowControl/>
              <w:spacing w:before="0" w:after="0"/>
              <w:jc w:val="both"/>
              <w:rPr>
                <w:rFonts w:eastAsia="Calibri" w:eastAsiaTheme="minorHAnsi"/>
                <w:bCs/>
                <w:lang w:eastAsia="en-US"/>
              </w:rPr>
            </w:pPr>
            <w:r>
              <w:rPr>
                <w:rFonts w:eastAsia="Calibri" w:eastAsiaTheme="minorHAnsi"/>
                <w:bCs/>
                <w:kern w:val="0"/>
                <w:lang w:val="ru-RU" w:eastAsia="en-US" w:bidi="ar-SA"/>
              </w:rPr>
              <w:t>При обращении контролируемого лица</w:t>
            </w:r>
          </w:p>
        </w:tc>
        <w:tc>
          <w:tcPr>
            <w:tcW w:w="3545" w:type="dxa"/>
            <w:tcBorders/>
          </w:tcPr>
          <w:p>
            <w:pPr>
              <w:pStyle w:val="Normal"/>
              <w:widowControl/>
              <w:spacing w:before="0" w:after="0"/>
              <w:jc w:val="both"/>
              <w:rPr>
                <w:rFonts w:eastAsia="Calibri" w:eastAsiaTheme="minorHAnsi"/>
                <w:bCs/>
                <w:lang w:eastAsia="en-US"/>
              </w:rPr>
            </w:pPr>
            <w:r>
              <w:rPr>
                <w:rFonts w:eastAsia="Calibri" w:eastAsiaTheme="minorHAnsi"/>
                <w:bCs/>
                <w:kern w:val="0"/>
                <w:lang w:val="ru-RU" w:eastAsia="en-US" w:bidi="ar-SA"/>
              </w:rPr>
              <w:t>Консультирование по телефону, посредством видео-конференц-связи, на личном приеме либо в ходе проведения профилактического мероприятия, контрольного мероприятия</w:t>
            </w:r>
          </w:p>
        </w:tc>
        <w:tc>
          <w:tcPr>
            <w:tcW w:w="1382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rFonts w:eastAsia="Calibri" w:eastAsiaTheme="minorHAnsi"/>
                <w:bCs/>
                <w:lang w:eastAsia="en-US"/>
              </w:rPr>
            </w:pPr>
            <w:r>
              <w:rPr>
                <w:rFonts w:eastAsia="Calibri" w:eastAsiaTheme="minorHAnsi"/>
                <w:bCs/>
                <w:kern w:val="0"/>
                <w:lang w:val="ru-RU" w:eastAsia="en-US" w:bidi="ar-SA"/>
              </w:rPr>
              <w:t>Комитет ЖКХ</w:t>
            </w:r>
          </w:p>
        </w:tc>
      </w:tr>
      <w:tr>
        <w:trPr/>
        <w:tc>
          <w:tcPr>
            <w:tcW w:w="532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rFonts w:eastAsia="Calibri" w:eastAsiaTheme="minorHAnsi"/>
                <w:bCs/>
                <w:lang w:eastAsia="en-US"/>
              </w:rPr>
            </w:pPr>
            <w:r>
              <w:rPr>
                <w:rFonts w:eastAsia="Calibri" w:eastAsiaTheme="minorHAnsi"/>
                <w:bCs/>
                <w:kern w:val="0"/>
                <w:lang w:val="ru-RU" w:eastAsia="en-US" w:bidi="ar-SA"/>
              </w:rPr>
              <w:t>5.</w:t>
            </w:r>
          </w:p>
        </w:tc>
        <w:tc>
          <w:tcPr>
            <w:tcW w:w="2553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rFonts w:eastAsia="Calibri" w:eastAsiaTheme="minorHAnsi"/>
                <w:bCs/>
                <w:lang w:eastAsia="en-US"/>
              </w:rPr>
            </w:pPr>
            <w:r>
              <w:rPr>
                <w:rFonts w:eastAsia="Calibri" w:eastAsiaTheme="minorHAnsi"/>
                <w:bCs/>
                <w:kern w:val="0"/>
                <w:lang w:val="ru-RU" w:eastAsia="en-US" w:bidi="ar-SA"/>
              </w:rPr>
              <w:t>Профилактический визит</w:t>
            </w:r>
          </w:p>
        </w:tc>
        <w:tc>
          <w:tcPr>
            <w:tcW w:w="1842" w:type="dxa"/>
            <w:tcBorders/>
          </w:tcPr>
          <w:p>
            <w:pPr>
              <w:pStyle w:val="Normal"/>
              <w:widowControl/>
              <w:spacing w:before="0" w:after="0"/>
              <w:jc w:val="both"/>
              <w:rPr>
                <w:rFonts w:eastAsia="Calibri" w:eastAsiaTheme="minorHAnsi"/>
                <w:bCs/>
                <w:lang w:eastAsia="en-US"/>
              </w:rPr>
            </w:pPr>
            <w:r>
              <w:rPr>
                <w:rFonts w:eastAsia="Calibri" w:eastAsiaTheme="minorHAnsi"/>
                <w:bCs/>
                <w:kern w:val="0"/>
                <w:lang w:val="ru-RU" w:eastAsia="en-US" w:bidi="ar-SA"/>
              </w:rPr>
              <w:t>При поступлении заявки от контролируемого лица</w:t>
            </w:r>
          </w:p>
        </w:tc>
        <w:tc>
          <w:tcPr>
            <w:tcW w:w="3545" w:type="dxa"/>
            <w:tcBorders/>
          </w:tcPr>
          <w:p>
            <w:pPr>
              <w:pStyle w:val="Normal"/>
              <w:widowControl/>
              <w:spacing w:before="0" w:after="0"/>
              <w:jc w:val="both"/>
              <w:rPr>
                <w:rFonts w:eastAsia="Calibri" w:eastAsiaTheme="minorHAnsi"/>
                <w:bCs/>
                <w:lang w:eastAsia="en-US"/>
              </w:rPr>
            </w:pPr>
            <w:r>
              <w:rPr>
                <w:rFonts w:eastAsia="Calibri" w:eastAsiaTheme="minorHAnsi"/>
                <w:bCs/>
                <w:kern w:val="0"/>
                <w:lang w:val="ru-RU" w:eastAsia="en-US" w:bidi="ar-SA"/>
              </w:rPr>
              <w:t xml:space="preserve">В форме профилактической беседы по месту осуществления деятельности контролируемого лица либо путем использования видео-конференц-связи в соответствии со </w:t>
            </w:r>
            <w:hyperlink r:id="rId4">
              <w:r>
                <w:rPr>
                  <w:rFonts w:eastAsia="Calibri" w:eastAsiaTheme="minorHAnsi"/>
                  <w:bCs/>
                  <w:color w:val="auto"/>
                  <w:kern w:val="0"/>
                  <w:u w:val="none"/>
                  <w:lang w:val="ru-RU" w:eastAsia="en-US" w:bidi="ar-SA"/>
                </w:rPr>
                <w:t>статьей 52</w:t>
              </w:r>
            </w:hyperlink>
            <w:r>
              <w:rPr>
                <w:rFonts w:eastAsia="Calibri" w:eastAsiaTheme="minorHAnsi"/>
                <w:bCs/>
                <w:kern w:val="0"/>
                <w:lang w:val="ru-RU" w:eastAsia="en-US" w:bidi="ar-SA"/>
              </w:rPr>
              <w:t xml:space="preserve"> Федерального закона № 248-ФЗ</w:t>
            </w:r>
          </w:p>
        </w:tc>
        <w:tc>
          <w:tcPr>
            <w:tcW w:w="1382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rFonts w:eastAsia="Calibri" w:eastAsiaTheme="minorHAnsi"/>
                <w:bCs/>
                <w:lang w:eastAsia="en-US"/>
              </w:rPr>
            </w:pPr>
            <w:r>
              <w:rPr>
                <w:rFonts w:eastAsia="Calibri" w:eastAsiaTheme="minorHAnsi"/>
                <w:bCs/>
                <w:kern w:val="0"/>
                <w:lang w:val="ru-RU" w:eastAsia="en-US" w:bidi="ar-SA"/>
              </w:rPr>
              <w:t>Комитет ЖКХ</w:t>
            </w:r>
          </w:p>
        </w:tc>
      </w:tr>
    </w:tbl>
    <w:p>
      <w:pPr>
        <w:pStyle w:val="Normal"/>
        <w:ind w:firstLine="708"/>
        <w:jc w:val="both"/>
        <w:rPr>
          <w:rFonts w:eastAsia="Calibri" w:eastAsiaTheme="minorHAnsi"/>
          <w:bCs/>
          <w:sz w:val="28"/>
          <w:szCs w:val="28"/>
          <w:lang w:eastAsia="en-US"/>
        </w:rPr>
      </w:pPr>
      <w:r>
        <w:rPr>
          <w:rFonts w:eastAsia="Calibri" w:eastAsiaTheme="minorHAnsi"/>
          <w:bCs/>
          <w:sz w:val="28"/>
          <w:szCs w:val="28"/>
          <w:lang w:eastAsia="en-US"/>
        </w:rPr>
      </w:r>
    </w:p>
    <w:p>
      <w:pPr>
        <w:pStyle w:val="Normal"/>
        <w:ind w:firstLine="708"/>
        <w:jc w:val="both"/>
        <w:rPr>
          <w:rFonts w:eastAsia="Calibri" w:eastAsiaTheme="minorHAnsi"/>
          <w:bCs/>
          <w:sz w:val="28"/>
          <w:szCs w:val="28"/>
          <w:lang w:eastAsia="en-US"/>
        </w:rPr>
      </w:pPr>
      <w:r>
        <w:rPr>
          <w:rFonts w:eastAsia="Calibri" w:eastAsiaTheme="minorHAnsi"/>
          <w:bCs/>
          <w:sz w:val="28"/>
          <w:szCs w:val="28"/>
          <w:lang w:eastAsia="en-US"/>
        </w:rPr>
      </w:r>
    </w:p>
    <w:p>
      <w:pPr>
        <w:pStyle w:val="Normal"/>
        <w:ind w:firstLine="708"/>
        <w:jc w:val="center"/>
        <w:rPr>
          <w:rFonts w:eastAsia="Calibri" w:eastAsiaTheme="minorHAnsi"/>
          <w:b/>
          <w:b/>
          <w:bCs/>
          <w:sz w:val="28"/>
          <w:szCs w:val="28"/>
          <w:lang w:eastAsia="en-US"/>
        </w:rPr>
      </w:pPr>
      <w:r>
        <w:rPr>
          <w:rFonts w:eastAsia="Calibri" w:eastAsiaTheme="minorHAnsi"/>
          <w:b/>
          <w:bCs/>
          <w:sz w:val="28"/>
          <w:szCs w:val="28"/>
          <w:lang w:eastAsia="en-US"/>
        </w:rPr>
        <w:t>Показатели результативности и эффективности Программы профилактики</w:t>
      </w:r>
    </w:p>
    <w:p>
      <w:pPr>
        <w:pStyle w:val="Normal"/>
        <w:ind w:firstLine="708"/>
        <w:jc w:val="both"/>
        <w:rPr>
          <w:rFonts w:eastAsia="Calibri" w:eastAsiaTheme="minorHAnsi"/>
          <w:bCs/>
          <w:sz w:val="28"/>
          <w:szCs w:val="28"/>
          <w:lang w:eastAsia="en-US"/>
        </w:rPr>
      </w:pPr>
      <w:r>
        <w:rPr>
          <w:rFonts w:eastAsia="Calibri" w:eastAsiaTheme="minorHAnsi"/>
          <w:bCs/>
          <w:sz w:val="28"/>
          <w:szCs w:val="28"/>
          <w:lang w:eastAsia="en-US"/>
        </w:rPr>
        <w:t>10. Показателями результативности и эффективности мероприятий Программы профилактики являются:</w:t>
      </w:r>
    </w:p>
    <w:p>
      <w:pPr>
        <w:pStyle w:val="Normal"/>
        <w:ind w:firstLine="708"/>
        <w:jc w:val="both"/>
        <w:rPr>
          <w:rFonts w:eastAsia="Calibri" w:eastAsiaTheme="minorHAnsi"/>
          <w:bCs/>
          <w:sz w:val="28"/>
          <w:szCs w:val="28"/>
          <w:lang w:eastAsia="en-US"/>
        </w:rPr>
      </w:pPr>
      <w:r>
        <w:rPr>
          <w:rFonts w:eastAsia="Calibri" w:eastAsiaTheme="minorHAnsi"/>
          <w:bCs/>
          <w:sz w:val="28"/>
          <w:szCs w:val="28"/>
          <w:lang w:eastAsia="en-US"/>
        </w:rPr>
        <w:t>1) количество размещенных соответствующих сведений об обязательных требованиях на официальном сайте Администрации Остерского</w:t>
      </w:r>
      <w:bookmarkStart w:id="0" w:name="_GoBack"/>
      <w:bookmarkEnd w:id="0"/>
      <w:r>
        <w:rPr>
          <w:rFonts w:eastAsia="Calibri" w:eastAsiaTheme="minorHAnsi"/>
          <w:bCs/>
          <w:sz w:val="28"/>
          <w:szCs w:val="28"/>
          <w:lang w:eastAsia="en-US"/>
        </w:rPr>
        <w:t xml:space="preserve"> сельского поселения Рославльского района Смоленской области в информационно-телекоммуникационной сети «Интернет», в средствах массовой информации;</w:t>
      </w:r>
    </w:p>
    <w:p>
      <w:pPr>
        <w:pStyle w:val="Normal"/>
        <w:ind w:firstLine="708"/>
        <w:jc w:val="both"/>
        <w:rPr>
          <w:rFonts w:eastAsia="Calibri" w:eastAsiaTheme="minorHAnsi"/>
          <w:bCs/>
          <w:sz w:val="28"/>
          <w:szCs w:val="28"/>
          <w:lang w:eastAsia="en-US"/>
        </w:rPr>
      </w:pPr>
      <w:r>
        <w:rPr>
          <w:rFonts w:eastAsia="Calibri" w:eastAsiaTheme="minorHAnsi"/>
          <w:bCs/>
          <w:sz w:val="28"/>
          <w:szCs w:val="28"/>
          <w:lang w:eastAsia="en-US"/>
        </w:rPr>
        <w:t>2) количество объявленных предостережений о недопустимости нарушения обязательных требований;</w:t>
      </w:r>
    </w:p>
    <w:p>
      <w:pPr>
        <w:pStyle w:val="Normal"/>
        <w:ind w:firstLine="708"/>
        <w:jc w:val="both"/>
        <w:rPr>
          <w:rFonts w:eastAsia="Calibri" w:eastAsiaTheme="minorHAnsi"/>
          <w:bCs/>
          <w:sz w:val="28"/>
          <w:szCs w:val="28"/>
          <w:lang w:eastAsia="en-US"/>
        </w:rPr>
      </w:pPr>
      <w:r>
        <w:rPr>
          <w:rFonts w:eastAsia="Calibri" w:eastAsiaTheme="minorHAnsi"/>
          <w:bCs/>
          <w:sz w:val="28"/>
          <w:szCs w:val="28"/>
          <w:lang w:eastAsia="en-US"/>
        </w:rPr>
        <w:t>3) количество проведенных консультирований в устной и письменной форме;</w:t>
      </w:r>
    </w:p>
    <w:p>
      <w:pPr>
        <w:pStyle w:val="Normal"/>
        <w:ind w:firstLine="708"/>
        <w:jc w:val="both"/>
        <w:rPr>
          <w:rFonts w:eastAsia="Calibri" w:eastAsiaTheme="minorHAnsi"/>
          <w:bCs/>
          <w:sz w:val="28"/>
          <w:szCs w:val="28"/>
          <w:lang w:eastAsia="en-US"/>
        </w:rPr>
      </w:pPr>
      <w:r>
        <w:rPr>
          <w:rFonts w:eastAsia="Calibri" w:eastAsiaTheme="minorHAnsi"/>
          <w:bCs/>
          <w:sz w:val="28"/>
          <w:szCs w:val="28"/>
          <w:lang w:eastAsia="en-US"/>
        </w:rPr>
        <w:t>4) количество проведенных профилактических визитов;</w:t>
      </w:r>
    </w:p>
    <w:p>
      <w:pPr>
        <w:pStyle w:val="Normal"/>
        <w:ind w:firstLine="708"/>
        <w:jc w:val="both"/>
        <w:rPr>
          <w:rFonts w:eastAsia="Calibri" w:eastAsiaTheme="minorHAnsi"/>
          <w:bCs/>
          <w:sz w:val="28"/>
          <w:szCs w:val="28"/>
          <w:lang w:eastAsia="en-US"/>
        </w:rPr>
      </w:pPr>
      <w:r>
        <w:rPr>
          <w:rFonts w:eastAsia="Calibri" w:eastAsiaTheme="minorHAnsi"/>
          <w:bCs/>
          <w:sz w:val="28"/>
          <w:szCs w:val="28"/>
          <w:lang w:eastAsia="en-US"/>
        </w:rPr>
        <w:t>5) количество контролируемых лиц, в отношении которых проведены профилактические мероприятия;</w:t>
      </w:r>
    </w:p>
    <w:p>
      <w:pPr>
        <w:pStyle w:val="Normal"/>
        <w:ind w:firstLine="708"/>
        <w:jc w:val="both"/>
        <w:rPr>
          <w:rFonts w:eastAsia="Calibri" w:eastAsiaTheme="minorHAnsi"/>
          <w:bCs/>
          <w:sz w:val="28"/>
          <w:szCs w:val="28"/>
          <w:lang w:eastAsia="en-US"/>
        </w:rPr>
      </w:pPr>
      <w:r>
        <w:rPr>
          <w:rFonts w:eastAsia="Calibri" w:eastAsiaTheme="minorHAnsi"/>
          <w:bCs/>
          <w:sz w:val="28"/>
          <w:szCs w:val="28"/>
          <w:lang w:eastAsia="en-US"/>
        </w:rPr>
        <w:t>6) снижение количества выявленных в ходе профилактических мероприятий нарушений за отчетный период по отношению к аналогичному периоду предыдущего года.</w:t>
      </w:r>
    </w:p>
    <w:sectPr>
      <w:type w:val="nextPage"/>
      <w:pgSz w:w="11906" w:h="16838"/>
      <w:pgMar w:left="1701" w:right="850" w:gutter="0" w:header="0" w:top="1134" w:footer="0" w:bottom="113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Segoe UI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TimesNewRoman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af6fe4"/>
    <w:pPr>
      <w:widowControl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eastAsia="ru-RU" w:val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>
    <w:name w:val="Интернет-ссылка"/>
    <w:basedOn w:val="DefaultParagraphFont"/>
    <w:uiPriority w:val="99"/>
    <w:unhideWhenUsed/>
    <w:rsid w:val="00af6fe4"/>
    <w:rPr>
      <w:color w:val="0563C1" w:themeColor="hyperlink"/>
      <w:u w:val="single"/>
    </w:rPr>
  </w:style>
  <w:style w:type="character" w:styleId="Style15" w:customStyle="1">
    <w:name w:val="Текст выноски Знак"/>
    <w:basedOn w:val="DefaultParagraphFont"/>
    <w:link w:val="a5"/>
    <w:uiPriority w:val="99"/>
    <w:semiHidden/>
    <w:qFormat/>
    <w:rsid w:val="00af19bb"/>
    <w:rPr>
      <w:rFonts w:ascii="Segoe UI" w:hAnsi="Segoe UI" w:eastAsia="Times New Roman" w:cs="Segoe UI"/>
      <w:sz w:val="18"/>
      <w:szCs w:val="18"/>
      <w:lang w:eastAsia="ru-RU"/>
    </w:rPr>
  </w:style>
  <w:style w:type="paragraph" w:styleId="Style16">
    <w:name w:val="Заголовок"/>
    <w:basedOn w:val="Normal"/>
    <w:next w:val="Style17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7">
    <w:name w:val="Body Text"/>
    <w:basedOn w:val="Normal"/>
    <w:pPr>
      <w:spacing w:lineRule="auto" w:line="276" w:before="0" w:after="140"/>
    </w:pPr>
    <w:rPr/>
  </w:style>
  <w:style w:type="paragraph" w:styleId="Style18">
    <w:name w:val="List"/>
    <w:basedOn w:val="Style17"/>
    <w:pPr/>
    <w:rPr>
      <w:rFonts w:cs="Arial"/>
    </w:rPr>
  </w:style>
  <w:style w:type="paragraph" w:styleId="Style19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0">
    <w:name w:val="Указатель"/>
    <w:basedOn w:val="Normal"/>
    <w:qFormat/>
    <w:pPr>
      <w:suppressLineNumbers/>
    </w:pPr>
    <w:rPr>
      <w:rFonts w:cs="Arial"/>
      <w:lang w:val="zxx" w:eastAsia="zxx" w:bidi="zxx"/>
    </w:rPr>
  </w:style>
  <w:style w:type="paragraph" w:styleId="BalloonText">
    <w:name w:val="Balloon Text"/>
    <w:basedOn w:val="Normal"/>
    <w:link w:val="a6"/>
    <w:uiPriority w:val="99"/>
    <w:semiHidden/>
    <w:unhideWhenUsed/>
    <w:qFormat/>
    <w:rsid w:val="00af19bb"/>
    <w:pPr/>
    <w:rPr>
      <w:rFonts w:ascii="Segoe UI" w:hAnsi="Segoe UI" w:cs="Segoe UI"/>
      <w:sz w:val="18"/>
      <w:szCs w:val="18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af6fe4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consultantplus://offline/ref=F895F14525B693349289B29A8E44BCC971E828C25A37F6E7ECE06BC4DF06173659F1E5B668F226AD212596469F5AECB64A3CA7D9F0316EDDS5O5J" TargetMode="External"/><Relationship Id="rId3" Type="http://schemas.openxmlformats.org/officeDocument/2006/relationships/hyperlink" Target="consultantplus://offline/ref=35A8F8A49BD4455DAA0466B54165E2831A30BDC8AF71BBB3C81C9E9B0A8C2A445FD59E9FA97891D7B45C2AE686iFZCJ" TargetMode="External"/><Relationship Id="rId4" Type="http://schemas.openxmlformats.org/officeDocument/2006/relationships/hyperlink" Target="consultantplus://offline/ref=65A24217A722F6946B94ED5A230DE166459E05B2E44E037971CDCD8161154FE9E7880B6E450425C16731C1937DBD67A852ED323B2B6A80CDv6gAJ" TargetMode="Externa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Application>LibreOffice/7.2.4.1$Windows_X86_64 LibreOffice_project/27d75539669ac387bb498e35313b970b7fe9c4f9</Application>
  <AppVersion>15.0000</AppVersion>
  <Pages>4</Pages>
  <Words>905</Words>
  <Characters>7269</Characters>
  <CharactersWithSpaces>8104</CharactersWithSpaces>
  <Paragraphs>79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2022-03-04T09:20:00Z</dcterms:created>
  <dc:creator>Rezerv</dc:creator>
  <dc:description/>
  <dc:language>ru-RU</dc:language>
  <cp:lastModifiedBy/>
  <cp:lastPrinted>2022-03-09T10:48:33Z</cp:lastPrinted>
  <dcterms:modified xsi:type="dcterms:W3CDTF">2022-03-09T10:48:48Z</dcterms:modified>
  <cp:revision>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