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4394" w:type="dxa"/>
        <w:jc w:val="left"/>
        <w:tblInd w:w="59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</w:tblGrid>
      <w:tr>
        <w:trPr>
          <w:trHeight w:val="5386" w:hRule="atLeast"/>
        </w:trPr>
        <w:tc>
          <w:tcPr>
            <w:tcW w:w="4394" w:type="dxa"/>
            <w:tcBorders/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0206" w:leader="none"/>
              </w:tabs>
              <w:ind w:right="140" w:hanging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ConsPlusNormal"/>
              <w:widowControl w:val="false"/>
              <w:numPr>
                <w:ilvl w:val="0"/>
                <w:numId w:val="0"/>
              </w:numPr>
              <w:ind w:right="140" w:hanging="0"/>
              <w:jc w:val="both"/>
              <w:outlineLvl w:val="1"/>
              <w:rPr>
                <w:rFonts w:ascii="Times New Roman" w:hAnsi="Times New Roman" w:cs="Times New Roman"/>
                <w:b/>
                <w:b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8"/>
              </w:rPr>
              <w:t>УТВЕРЖДЕНА</w:t>
            </w:r>
          </w:p>
          <w:p>
            <w:pPr>
              <w:pStyle w:val="Normal"/>
              <w:widowControl w:val="false"/>
              <w:spacing w:lineRule="auto" w:line="240" w:before="0" w:after="200"/>
              <w:ind w:right="140" w:hanging="0"/>
              <w:jc w:val="both"/>
              <w:rPr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 «Рославльский район» Смоленской области от  10.08.2017 № 1593 (в редакции постановлений Администрации муниципального образования «Рославльский район» Смоленской области от 04.04.2018 № 614, от 29.12.2018 № 2375, от 27.03.2019 № 568, от 08.07.2019 №1213, от 31.03.2021 № 419, от 30.03.2022 № 354)</w:t>
            </w:r>
          </w:p>
        </w:tc>
      </w:tr>
    </w:tbl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0206" w:leader="none"/>
        </w:tabs>
        <w:spacing w:lineRule="auto" w:line="240" w:before="0" w:after="0"/>
        <w:ind w:right="140" w:hanging="0"/>
        <w:jc w:val="center"/>
        <w:outlineLvl w:val="1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МУНИЦИПАЛЬНАЯ ПРОГРАММА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hanging="0"/>
        <w:jc w:val="center"/>
        <w:rPr>
          <w:rFonts w:ascii="Times New Roman" w:hAnsi="Times New Roman" w:eastAsia="Arial Unicode MS"/>
          <w:b/>
          <w:b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b/>
          <w:kern w:val="2"/>
          <w:sz w:val="27"/>
          <w:szCs w:val="27"/>
          <w:lang w:eastAsia="ar-SA"/>
        </w:rPr>
        <w:t>«ПАТРИОТИЧЕСКОЕ ВОСПИТАНИЕ ГРАЖДАН И РАЗВИТИЕ МОЛОДЕЖНОЙ ПОЛИТИКИ МУНИЦИПАЛЬНОГО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hanging="0"/>
        <w:jc w:val="center"/>
        <w:rPr>
          <w:rFonts w:ascii="Times New Roman" w:hAnsi="Times New Roman" w:eastAsia="Arial Unicode MS"/>
          <w:b/>
          <w:b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b/>
          <w:kern w:val="2"/>
          <w:sz w:val="27"/>
          <w:szCs w:val="27"/>
          <w:lang w:eastAsia="ar-SA"/>
        </w:rPr>
        <w:t xml:space="preserve">ОБРАЗОВАНИЯ «РОСЛАВЛЬСКИЙ РАЙОН» СМОЛЕНСКОЙ </w:t>
        <w:br/>
        <w:t>ОБЛАСТИ»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Раздел 1. Стратегические приоритеты в сфере реализации муниципальной программы.</w:t>
      </w:r>
    </w:p>
    <w:p>
      <w:pPr>
        <w:pStyle w:val="Normal"/>
        <w:keepNext w:val="true"/>
        <w:keepLines/>
        <w:widowControl w:val="false"/>
        <w:numPr>
          <w:ilvl w:val="0"/>
          <w:numId w:val="0"/>
        </w:numPr>
        <w:shd w:val="clear" w:color="auto" w:fill="FFFFFF"/>
        <w:suppressAutoHyphens w:val="true"/>
        <w:spacing w:lineRule="auto" w:line="240" w:before="0" w:after="0"/>
        <w:ind w:right="140" w:firstLine="708"/>
        <w:jc w:val="both"/>
        <w:textAlignment w:val="baseline"/>
        <w:outlineLvl w:val="2"/>
        <w:rPr>
          <w:rFonts w:ascii="Times New Roman" w:hAnsi="Times New Roman" w:eastAsia="Times New Roman"/>
          <w:kern w:val="2"/>
          <w:sz w:val="27"/>
          <w:szCs w:val="27"/>
          <w:lang w:val="x-none" w:eastAsia="ar-SA"/>
        </w:rPr>
      </w:pPr>
      <w:r>
        <w:rPr>
          <w:rFonts w:eastAsia="Times New Roman" w:ascii="Times New Roman" w:hAnsi="Times New Roman"/>
          <w:bCs/>
          <w:kern w:val="2"/>
          <w:sz w:val="27"/>
          <w:szCs w:val="27"/>
          <w:lang w:val="x-none" w:eastAsia="ar-SA"/>
        </w:rPr>
        <w:t>В настоящее время, когда в России идет процесс определения ценностных ориентиров, соответствующих современным реалиям, главной проблемой для общества становится обретение духовного стержня, общепризнанных, традиционных для России идеалов и ценностей, национальной идеи. Это важно и для страны, и для области, и для района, и для общества в целом, и для человека, поскольку помогает ему адаптироваться к изменившимся условиям, осмыслить свое место во вновь возникшей системе общественных координат.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Гражданско-патриотическое воспитание детей и молодёжи является исключительно важной частью воспитания граждан. Это многоплановая, систематическая, целенаправленная и скоординированная деятельность государственных органов, органов местного самоуправления, общественных объединений и организаций по формированию у молодёжи высокого патриотического сознания, чувства верности своему Отечеству, своему Родному краю, готовности к выполнению гражданского долга, важнейших конституционных обязанностей по защите интересов общества.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Реализацию государственной политики в сфере гражданско-патриотического воспитания на территории Смоленской области осуществляет созданное в соответствии с постановлением Администрации Смоленской области от 25.12.2015 № 861 Главное управление Смоленской области по гражданско-патриотическому воспитанию, основными задачами которого являются развитие системы гражданско-патриотического воспитания различных категорий граждан в Смоленской области и координация деятельности органов исполнительной власти Смоленской области, направленной на гражданско-патриотическое воспитание граждан.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Стратегическим приоритетом гражданско-патриотического воспитания является работа по воспитанию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страны, народа и своей семьи.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 xml:space="preserve">В настоящее время Комитетом по культуре, спорту и молодежной политики Администрации муниципального образования «Рославльский район» Смоленской области проводится работа по гражданско-патриотическому воспитанию детей, молодежи, граждан, проживающих на территории муниципального образования «Рославльский район» Смоленской области. 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В районе сложилась система патриотического воспитания граждан, основанная на дифференцированном подходе к различным группам населения, комплексном сочетании основных её направлений, тесном взаимодействии и сотрудничестве органов государственной власти и местного самоуправления, различных общественных организаций и молодежных структур.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Традиционным стало проведение в районе военно-полевых сборов, спартакиады призывной молодежи, вечеров боевой славы, уроков мужества, встреч с ветеранами Великой Отечественной войны, ветеранами локальных военных конфликтов в Чечне и Афганистане. Во всех образовательных учреждениях района ведется активная работа по гражданско-патриотическому и духовно-нравственному воспитанию обучающихся, вследствие чего в деятельности образовательных учреждений наметились действенные положительные результаты. На территории района создано 3 поисковых отряда, 1 кадетский класс при МБОУ «средняя школа № 10», региональное отделение «Юнармия», казачья группа и казачье общество. Руководство ими осуществляют опытные специалисты, прошедшие военную и жизненную закалку.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В рамках работы по военно-патриотическому воспитанию молодежи района в добрую традицию вошло проведение ежегодных мероприятий, такие как фестивали военно-патриотических песен, месячники оборонно-массовой и спортивной работы, заседания «круглого стола», военно-патриотические акции, соревнования.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Особое место в военно-патриотическом воспитании молодежи занимают районная спартакиада допризывной молодежи, организаторами которой выступают Комитет по культуре, спорту и молодежной политике совместно с Комитетом образования и юнармейские игры, главным организатором которых является Комитет образования.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Важной составляющей патриотического воспитания студенческой и учащейся молодежи является вовлечение студентов в благотворительную деятельность – волонтерское движение, участие в акциях милосердия.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В районе создана отлаженная, эффективная система патриотического воспитания молодежи. Установлены тесные деловые партнерские отношения Комитета по культуре, спорту и молодежной политике с МО ДОСААФ России в Рославльском районе, с отделом военного комиссариата Рославльского района, с Рославльской районной общественной организацией ветеранов боевых действий и другими заинтересованными структурами. И в дальнейшем необходимо данную систему совершенствовать. Однако имеющаяся материально-техническая база не в полной мере удовлетворяет современным запросам курсантов военно-патриотических клубов. Необходимо изыскивать финансовые и материальные средства для ее обновления с учетом требований времени и запросов молодежи.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Значительное внимание гражданско-патриотическому воспитанию детей и подростков уделяется в образовательных учреждениях района. Основы и фундамент активной гражданской позиции закладываются и формируются в ходе учебного процесса и получают своё дальнейшее развитие в системе внеклассной, внешкольной работы и дополнительного образования. Тема патриотического воспитания «встроена» практически во все предметы общественно-гуманитарного и естественнонаучного цикла. Прежде всего, это целенаправленная работа по формированию уважения к символам нашей Родины – флагу, гимну, гербу. Во всех общеобразовательных учреждениях района созданы уголки символики России. Такие мероприятия, как классные часы, посвящённые государственной символике, Дню народного единства, Дню космонавтики и другим государственным праздникам, изучение на уроках истории и обществознания и закрепление во внеурочных мероприятиях Конвенции о правах ребёнка и законов были направлены на воспитание гражданина и патриота России. В школах проводятся мероприятия по формированию у учащихся твердых знаний о днях воинской славы и памятных датах России, примеров героизма и мужества защитников Отечества.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Помимо этого, в Рославльском районе активное внимание уделяется развитию добровольчества (волонтерства), волонтерское движение охватывает большинство сфер общественной жизни: спорт, здравоохранение, социальную защиту, культуру, образование, экологию и др. Современный гражданин готов участвовать в развитии территории, на которой он проживает, помогать в решении проблем, стоящих перед обществом.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В Рославльском районе действуют 13 волонтерских корпусов.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 xml:space="preserve">Важным шагом к выстраиванию системы поддержки добровольчества (волонтерства) стало внедрение единой информационной системы «Добровольцы России» (далее также - система «Добровольцы России»). Презентация системы «Добровольцы России» состоялась в 2018 году, после чего к разъяснительной работе среди общественных организаций и организаторов добровольчества (волонтерства) приступили Главное управление Смоленской области по делам молодежи и гражданско-патриотическому воспитанию и органы местного самоуправления муниципальных образований Смоленской области. 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В результате проводимой работы, в Рославльском районе наблюдается устойчивый рост числа граждан и организаций, участвующих в добровольческой (волонтерской) деятельности, происходит самоорганизация добровольцев (волонтеров) в различных сферах деятельности и социально-демографических группах. Так, если в 2019 году на территории Рославльского района было зарегистрировано около 200 добровольцев, то по состоянию на 1 января 2022 года в Рославльском районе количество граждан, занимающихся добровольческой (волонтерской) деятельностью, составляло 408 человек.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 xml:space="preserve">Большое внимание уделяется подготовке координаторов волонтерского движения района, которые участвуют в образовательных съездах, проходят онлайн-курсы и т.д. 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Вместе с тем для эффективного функционирования системы волонтерского движения необходимо и дальше вести плановую работу по улучшению межведомственного взаимодействия, развитию стимулов для вступления граждан в ряды добровольцев, преодолению дефицита профессиональных кадров для ведения работы по развитию волонтерского движения, развитию системы корпоративного волонтерства, вовлечению в эту работу средств массовой информации.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 xml:space="preserve">Стоит отметить, что современное состояние гражданско-патриотического воспитания граждан во многом определяется сложившейся экономической, политической и социальной ситуацией в нашем обществе.  Коренные перемены, в первую очередь, отражаются на тех категориях населения, которые по тем или иным причинам не могут адекватно реагировать на происходящие социальные процессы. Одной из таких категорий являются дети и молодежь. Не секрет, что значительная часть молодежи проявляет социальную инертность, нетерпимость, а иногда и агрессивность по отношению к своим конституционным обязанностям. Отчетливо прослеживается тенденция к ухудшению состояния здоровья призывников. 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 xml:space="preserve">В общественном сознании всё более глубокой эрозии подвергаются такие ценности, как Отечество, патриотизм, верность героическим традициям прошлого, долг, честь, достоинство, самоотверженность. Молодежь не проявляет интереса к оказанию помощи или шефству над пожилыми людьми. </w:t>
      </w:r>
    </w:p>
    <w:p>
      <w:pPr>
        <w:pStyle w:val="Normal"/>
        <w:widowControl w:val="false"/>
        <w:suppressAutoHyphens w:val="true"/>
        <w:spacing w:lineRule="auto" w:line="240" w:before="0" w:after="0"/>
        <w:ind w:right="140" w:firstLine="709"/>
        <w:jc w:val="both"/>
        <w:rPr>
          <w:rFonts w:ascii="Times New Roman" w:hAnsi="Times New Roman" w:eastAsia="Arial Unicode MS"/>
          <w:kern w:val="2"/>
          <w:sz w:val="27"/>
          <w:szCs w:val="27"/>
          <w:lang w:eastAsia="ar-SA"/>
        </w:rPr>
      </w:pPr>
      <w:r>
        <w:rPr>
          <w:rFonts w:eastAsia="Arial Unicode MS" w:ascii="Times New Roman" w:hAnsi="Times New Roman"/>
          <w:kern w:val="2"/>
          <w:sz w:val="27"/>
          <w:szCs w:val="27"/>
          <w:lang w:eastAsia="ar-SA"/>
        </w:rPr>
        <w:t>Существуют радикальные, псевдопатриотические организации, которые пытаются занять свою политическую нишу, воздействуя на молодое поколение. Молодежь вовлекается в различные религиозные «секты», что приводит к духовному обнищанию.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0206" w:leader="none"/>
        </w:tabs>
        <w:spacing w:lineRule="auto" w:line="240" w:before="0" w:after="0"/>
        <w:ind w:right="140" w:hanging="0"/>
        <w:jc w:val="both"/>
        <w:outlineLvl w:val="1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color w:val="000000"/>
          <w:sz w:val="27"/>
          <w:szCs w:val="27"/>
          <w:lang w:eastAsia="ru-RU"/>
        </w:rPr>
        <w:t xml:space="preserve">       </w:t>
      </w:r>
      <w:r>
        <w:rPr>
          <w:rFonts w:eastAsia="Times New Roman" w:ascii="Times New Roman" w:hAnsi="Times New Roman"/>
          <w:color w:val="000000"/>
          <w:sz w:val="27"/>
          <w:szCs w:val="27"/>
          <w:lang w:eastAsia="ru-RU"/>
        </w:rPr>
        <w:t xml:space="preserve">Чтобы объединить усилия ведомств, координировать направленность работы на все социальные и возрастные группы подростков и молодежи, нужен единый план действий по реализации государственной молодежной политики на территории муниципального образования «Рославльский район» Смоленской области. Для этого создается Муниципальная программа «Патриотическое воспитание граждан и развитие молодежной политики на территории муниципального образования «Рославльский район» Смоленской области».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П А С П О Р Т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«ПАТРИОТИЧЕСКОЕ ВОСПИТАНИЕ ГРАЖДАН И РАЗВИТИЕ МОЛОДЕЖНОЙ ПОЛИТИКИ МУНИЦИПАЛЬНОГО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ОБРАЗОВАНИЯ «РОСЛАВЛЬСКИЙ РАЙОН» СМОЛЕНСКОЙ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Основные положения</w:t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7"/>
        <w:gridCol w:w="6767"/>
      </w:tblGrid>
      <w:tr>
        <w:trPr>
          <w:trHeight w:val="706" w:hRule="atLeast"/>
          <w:cantSplit w:val="true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Ответственный исполнитель </w:t>
              <w:br/>
              <w:t xml:space="preserve">муниципальной программы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jc w:val="both"/>
              <w:rPr>
                <w:rFonts w:ascii="Times New Roman" w:hAnsi="Times New Roman" w:eastAsia="Arial Unicode MS"/>
                <w:sz w:val="27"/>
                <w:szCs w:val="27"/>
                <w:lang w:eastAsia="ru-RU"/>
              </w:rPr>
            </w:pPr>
            <w:r>
              <w:rPr>
                <w:rFonts w:eastAsia="Arial Unicode MS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 Администрации муниципального образования «Рославльский район» Смоленской области.</w:t>
            </w:r>
          </w:p>
        </w:tc>
      </w:tr>
      <w:tr>
        <w:trPr>
          <w:trHeight w:val="407" w:hRule="atLeast"/>
          <w:cantSplit w:val="true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Этап I: 2017-2021 годы; 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Этап II: 2022-2024 годы.</w:t>
            </w:r>
          </w:p>
        </w:tc>
      </w:tr>
      <w:tr>
        <w:trPr>
          <w:trHeight w:val="725" w:hRule="atLeast"/>
          <w:cantSplit w:val="true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0"/>
              <w:jc w:val="both"/>
              <w:rPr>
                <w:rFonts w:ascii="Times New Roman" w:hAnsi="Times New Roman" w:eastAsia="Arial Unicode MS"/>
                <w:sz w:val="27"/>
                <w:szCs w:val="27"/>
                <w:lang w:eastAsia="ru-RU"/>
              </w:rPr>
            </w:pPr>
            <w:r>
              <w:rPr>
                <w:rFonts w:eastAsia="Arial Unicode MS" w:ascii="Times New Roman" w:hAnsi="Times New Roman"/>
                <w:sz w:val="27"/>
                <w:szCs w:val="27"/>
                <w:lang w:eastAsia="ru-RU"/>
              </w:rPr>
              <w:t>Совершенствование системы гражданско-патриотического воспитания молодежи в муниципальном образовании «Рославльский район» Смоленской области и повышение эффективности реализации молодежной политики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Arial Unicode MS"/>
                <w:sz w:val="27"/>
                <w:szCs w:val="27"/>
                <w:lang w:eastAsia="ru-RU"/>
              </w:rPr>
            </w:pPr>
            <w:r>
              <w:rPr>
                <w:rFonts w:eastAsia="Arial Unicode MS" w:ascii="Times New Roman" w:hAnsi="Times New Roman"/>
                <w:sz w:val="27"/>
                <w:szCs w:val="27"/>
                <w:lang w:eastAsia="ru-RU"/>
              </w:rPr>
            </w:r>
          </w:p>
        </w:tc>
      </w:tr>
      <w:tr>
        <w:trPr>
          <w:trHeight w:val="677" w:hRule="atLeast"/>
          <w:cantSplit w:val="true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Arial Unicode MS"/>
                <w:sz w:val="27"/>
                <w:szCs w:val="27"/>
                <w:lang w:eastAsia="ru-RU"/>
              </w:rPr>
            </w:pPr>
            <w:r>
              <w:rPr>
                <w:rFonts w:eastAsia="Arial Unicode MS" w:ascii="Times New Roman" w:hAnsi="Times New Roman"/>
                <w:sz w:val="27"/>
                <w:szCs w:val="27"/>
                <w:lang w:eastAsia="ru-RU"/>
              </w:rPr>
              <w:t>Объемы финансового обеспечения за весь период реализации</w:t>
            </w: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общий объем финансирования составляет 859,5 тыс. рублей, из них: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2017-2021 года –  609,5 тыс. рублей;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2022 год – 50 тыс. рублей, из них: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средства бюджета муниципального образования «Рославльский район» Смоленской области – 50 тыс. рублей;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2023 год – 100 тыс. рублей, из них: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средства бюджета муниципального образования «Рославльский район» Смоленской области - 100 тыс. рублей;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2024 год – 100 тыс. рублей, из них: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средства бюджета муниципального образования «Рославльский район» Смоленской области - 100 тыс. рублей.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Arial Unicode MS"/>
                <w:sz w:val="27"/>
                <w:szCs w:val="27"/>
                <w:lang w:eastAsia="ru-RU"/>
              </w:rPr>
            </w:pPr>
            <w:r>
              <w:rPr>
                <w:rFonts w:eastAsia="Arial Unicode MS" w:ascii="Times New Roman" w:hAnsi="Times New Roman"/>
                <w:sz w:val="27"/>
                <w:szCs w:val="27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left="720" w:hanging="0"/>
        <w:contextualSpacing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720" w:hanging="0"/>
        <w:contextualSpacing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720" w:hanging="0"/>
        <w:contextualSpacing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720" w:hanging="0"/>
        <w:contextualSpacing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720" w:hanging="0"/>
        <w:contextualSpacing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720" w:hanging="0"/>
        <w:contextualSpacing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720" w:hanging="0"/>
        <w:contextualSpacing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2. Показатели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tbl>
      <w:tblPr>
        <w:tblStyle w:val="110"/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17"/>
        <w:gridCol w:w="1476"/>
        <w:gridCol w:w="1861"/>
        <w:gridCol w:w="1352"/>
        <w:gridCol w:w="1349"/>
        <w:gridCol w:w="1349"/>
      </w:tblGrid>
      <w:tr>
        <w:trPr>
          <w:tblHeader w:val="true"/>
        </w:trPr>
        <w:tc>
          <w:tcPr>
            <w:tcW w:w="2817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Наименование показателя, единица измерения</w:t>
            </w:r>
          </w:p>
        </w:tc>
        <w:tc>
          <w:tcPr>
            <w:tcW w:w="147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ind w:firstLine="23"/>
              <w:jc w:val="center"/>
              <w:rPr>
                <w:rFonts w:ascii="Times New Roman" w:hAnsi="Times New Roman" w:eastAsia="Times New Roman"/>
                <w:color w:val="22272F"/>
                <w:sz w:val="27"/>
                <w:szCs w:val="27"/>
                <w:shd w:fill="FFFFFF" w:val="clear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Единица измерения</w:t>
            </w:r>
          </w:p>
        </w:tc>
        <w:tc>
          <w:tcPr>
            <w:tcW w:w="186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ind w:firstLine="23"/>
              <w:jc w:val="center"/>
              <w:rPr>
                <w:rFonts w:ascii="Times New Roman" w:hAnsi="Times New Roman" w:eastAsia="Times New Roman"/>
                <w:color w:val="22272F"/>
                <w:sz w:val="27"/>
                <w:szCs w:val="27"/>
                <w:shd w:fill="FFFFFF" w:val="clear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 xml:space="preserve">Базовое значение показателя </w:t>
            </w:r>
          </w:p>
          <w:p>
            <w:pPr>
              <w:pStyle w:val="Normal"/>
              <w:widowControl/>
              <w:spacing w:lineRule="auto" w:line="240" w:before="0" w:after="0"/>
              <w:ind w:firstLine="23"/>
              <w:jc w:val="center"/>
              <w:rPr>
                <w:rFonts w:ascii="Times New Roman" w:hAnsi="Times New Roman" w:eastAsia="Times New Roman"/>
                <w:color w:val="22272F"/>
                <w:sz w:val="27"/>
                <w:szCs w:val="27"/>
                <w:shd w:fill="FFFFFF" w:val="clear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 xml:space="preserve"> </w:t>
            </w:r>
            <w:r>
              <w:rPr>
                <w:rFonts w:eastAsia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2021 год</w:t>
            </w:r>
          </w:p>
        </w:tc>
        <w:tc>
          <w:tcPr>
            <w:tcW w:w="4050" w:type="dxa"/>
            <w:gridSpan w:val="3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color w:val="22272F"/>
                <w:sz w:val="27"/>
                <w:szCs w:val="27"/>
                <w:shd w:fill="FFFFFF" w:val="clear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kern w:val="0"/>
                <w:sz w:val="28"/>
                <w:szCs w:val="20"/>
                <w:shd w:fill="FFFFFF" w:val="clear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color w:val="22272F"/>
                <w:sz w:val="27"/>
                <w:szCs w:val="27"/>
                <w:shd w:fill="FFFFFF" w:val="clear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 xml:space="preserve">Планируемое значение показателя </w:t>
            </w:r>
          </w:p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pacing w:val="-2"/>
                <w:kern w:val="0"/>
                <w:sz w:val="28"/>
                <w:szCs w:val="20"/>
                <w:lang w:val="ru-RU" w:eastAsia="en-US" w:bidi="ar-SA"/>
              </w:rPr>
            </w:r>
          </w:p>
        </w:tc>
      </w:tr>
      <w:tr>
        <w:trPr>
          <w:tblHeader w:val="true"/>
          <w:trHeight w:val="448" w:hRule="atLeast"/>
        </w:trPr>
        <w:tc>
          <w:tcPr>
            <w:tcW w:w="2817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kern w:val="0"/>
                <w:sz w:val="28"/>
                <w:szCs w:val="20"/>
                <w:lang w:val="ru-RU" w:eastAsia="en-US" w:bidi="ar-SA"/>
              </w:rPr>
            </w:r>
          </w:p>
        </w:tc>
        <w:tc>
          <w:tcPr>
            <w:tcW w:w="147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color w:val="22272F"/>
                <w:sz w:val="27"/>
                <w:szCs w:val="27"/>
                <w:shd w:fill="FFFFFF" w:val="clear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kern w:val="0"/>
                <w:sz w:val="28"/>
                <w:szCs w:val="20"/>
                <w:shd w:fill="FFFFFF" w:val="clear"/>
                <w:lang w:val="ru-RU" w:eastAsia="en-US" w:bidi="ar-SA"/>
              </w:rPr>
            </w:r>
          </w:p>
        </w:tc>
        <w:tc>
          <w:tcPr>
            <w:tcW w:w="18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color w:val="22272F"/>
                <w:sz w:val="27"/>
                <w:szCs w:val="27"/>
                <w:shd w:fill="FFFFFF" w:val="clear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kern w:val="0"/>
                <w:sz w:val="28"/>
                <w:szCs w:val="20"/>
                <w:shd w:fill="FFFFFF" w:val="clear"/>
                <w:lang w:val="ru-RU" w:eastAsia="en-US" w:bidi="ar-SA"/>
              </w:rPr>
            </w:r>
          </w:p>
        </w:tc>
        <w:tc>
          <w:tcPr>
            <w:tcW w:w="135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/>
                <w:spacing w:val="-2"/>
                <w:sz w:val="27"/>
                <w:szCs w:val="27"/>
                <w:lang w:val="en-US" w:eastAsia="ru-RU"/>
              </w:rPr>
            </w:pPr>
            <w:r>
              <w:rPr>
                <w:rFonts w:eastAsia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 xml:space="preserve"> </w:t>
            </w:r>
            <w:r>
              <w:rPr>
                <w:rFonts w:eastAsia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2022 год</w:t>
            </w:r>
          </w:p>
        </w:tc>
        <w:tc>
          <w:tcPr>
            <w:tcW w:w="13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 xml:space="preserve"> </w:t>
            </w:r>
            <w:r>
              <w:rPr>
                <w:rFonts w:eastAsia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2023 год</w:t>
            </w:r>
          </w:p>
        </w:tc>
        <w:tc>
          <w:tcPr>
            <w:tcW w:w="13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 xml:space="preserve"> </w:t>
            </w:r>
            <w:r>
              <w:rPr>
                <w:rFonts w:eastAsia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8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</w:t>
            </w:r>
          </w:p>
        </w:tc>
        <w:tc>
          <w:tcPr>
            <w:tcW w:w="147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pacing w:val="-2"/>
                <w:kern w:val="0"/>
                <w:sz w:val="27"/>
                <w:szCs w:val="27"/>
                <w:lang w:val="ru-RU" w:eastAsia="ru-RU" w:bidi="ar-SA"/>
              </w:rPr>
              <w:t>2</w:t>
            </w:r>
          </w:p>
        </w:tc>
        <w:tc>
          <w:tcPr>
            <w:tcW w:w="1861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pacing w:val="-2"/>
                <w:kern w:val="0"/>
                <w:sz w:val="27"/>
                <w:szCs w:val="27"/>
                <w:lang w:val="ru-RU" w:eastAsia="ru-RU" w:bidi="ar-SA"/>
              </w:rPr>
              <w:t>3</w:t>
            </w:r>
          </w:p>
        </w:tc>
        <w:tc>
          <w:tcPr>
            <w:tcW w:w="135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pacing w:val="-2"/>
                <w:kern w:val="0"/>
                <w:sz w:val="27"/>
                <w:szCs w:val="27"/>
                <w:lang w:val="ru-RU" w:eastAsia="ru-RU" w:bidi="ar-SA"/>
              </w:rPr>
              <w:t>4</w:t>
            </w:r>
          </w:p>
        </w:tc>
        <w:tc>
          <w:tcPr>
            <w:tcW w:w="13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pacing w:val="-2"/>
                <w:kern w:val="0"/>
                <w:sz w:val="27"/>
                <w:szCs w:val="27"/>
                <w:lang w:val="ru-RU" w:eastAsia="ru-RU" w:bidi="ar-SA"/>
              </w:rPr>
              <w:t>5</w:t>
            </w:r>
          </w:p>
        </w:tc>
        <w:tc>
          <w:tcPr>
            <w:tcW w:w="13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817" w:type="dxa"/>
            <w:tcBorders/>
            <w:vAlign w:val="center"/>
          </w:tcPr>
          <w:p>
            <w:pPr>
              <w:pStyle w:val="Normal"/>
              <w:widowControl/>
              <w:spacing w:lineRule="auto" w:line="228" w:before="0" w:after="0"/>
              <w:ind w:firstLine="851"/>
              <w:jc w:val="lef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kern w:val="0"/>
                <w:sz w:val="27"/>
                <w:szCs w:val="27"/>
                <w:lang w:val="ru-RU" w:eastAsia="ru-RU" w:bidi="ar-SA"/>
              </w:rPr>
              <w:t xml:space="preserve">Численность детей и молодежи в возрасте до 35 лет, вовлеченных в социально активную деятельность через увеличение охвата патриотическими проектами </w:t>
            </w:r>
          </w:p>
        </w:tc>
        <w:tc>
          <w:tcPr>
            <w:tcW w:w="147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ед.</w:t>
            </w:r>
          </w:p>
        </w:tc>
        <w:tc>
          <w:tcPr>
            <w:tcW w:w="1861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300</w:t>
            </w:r>
          </w:p>
        </w:tc>
        <w:tc>
          <w:tcPr>
            <w:tcW w:w="135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 xml:space="preserve">       </w:t>
            </w: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400</w:t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 xml:space="preserve">          </w:t>
            </w: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400</w:t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 xml:space="preserve">          </w:t>
            </w: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400</w:t>
            </w:r>
          </w:p>
        </w:tc>
      </w:tr>
      <w:tr>
        <w:trPr/>
        <w:tc>
          <w:tcPr>
            <w:tcW w:w="2817" w:type="dxa"/>
            <w:tcBorders/>
          </w:tcPr>
          <w:p>
            <w:pPr>
              <w:pStyle w:val="Normal"/>
              <w:widowControl/>
              <w:spacing w:lineRule="auto" w:line="228" w:before="0" w:after="0"/>
              <w:ind w:firstLine="851"/>
              <w:jc w:val="lef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kern w:val="0"/>
                <w:sz w:val="27"/>
                <w:szCs w:val="27"/>
                <w:lang w:val="ru-RU" w:eastAsia="ru-RU" w:bidi="ar-SA"/>
              </w:rPr>
              <w:t xml:space="preserve">Количество мероприятий гражданско-патриотической, </w:t>
            </w:r>
            <w:r>
              <w:rPr>
                <w:rFonts w:ascii="Times New Roman" w:hAnsi="Times New Roman"/>
                <w:spacing w:val="1"/>
                <w:kern w:val="0"/>
                <w:sz w:val="27"/>
                <w:szCs w:val="27"/>
                <w:lang w:val="ru-RU" w:eastAsia="ru-RU" w:bidi="ar-SA"/>
              </w:rPr>
              <w:t xml:space="preserve">гражданско-правовой, военно-патриотической </w:t>
            </w:r>
            <w:r>
              <w:rPr>
                <w:rFonts w:ascii="Times New Roman" w:hAnsi="Times New Roman"/>
                <w:kern w:val="0"/>
                <w:sz w:val="27"/>
                <w:szCs w:val="27"/>
                <w:lang w:val="ru-RU" w:eastAsia="ru-RU" w:bidi="ar-SA"/>
              </w:rPr>
              <w:t xml:space="preserve">и спортивно-патриотической направленности, проведенных на территории муниципального образования </w:t>
            </w:r>
          </w:p>
        </w:tc>
        <w:tc>
          <w:tcPr>
            <w:tcW w:w="147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шт.</w:t>
            </w:r>
          </w:p>
        </w:tc>
        <w:tc>
          <w:tcPr>
            <w:tcW w:w="1861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25</w:t>
            </w:r>
          </w:p>
        </w:tc>
        <w:tc>
          <w:tcPr>
            <w:tcW w:w="135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25</w:t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25</w:t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25</w:t>
            </w:r>
          </w:p>
        </w:tc>
      </w:tr>
      <w:tr>
        <w:trPr/>
        <w:tc>
          <w:tcPr>
            <w:tcW w:w="2817" w:type="dxa"/>
            <w:tcBorders/>
          </w:tcPr>
          <w:p>
            <w:pPr>
              <w:pStyle w:val="Normal"/>
              <w:widowControl/>
              <w:spacing w:lineRule="auto" w:line="228" w:before="0" w:after="0"/>
              <w:ind w:firstLine="851"/>
              <w:jc w:val="lef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Доля молодежи, задействованной в мероприятиях по вовлечению в творческую деятельность по отношению к общему числу молодежи</w:t>
            </w:r>
          </w:p>
        </w:tc>
        <w:tc>
          <w:tcPr>
            <w:tcW w:w="147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%</w:t>
            </w:r>
          </w:p>
        </w:tc>
        <w:tc>
          <w:tcPr>
            <w:tcW w:w="1861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69</w:t>
            </w:r>
          </w:p>
        </w:tc>
        <w:tc>
          <w:tcPr>
            <w:tcW w:w="135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69</w:t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69</w:t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69</w:t>
            </w:r>
          </w:p>
        </w:tc>
      </w:tr>
      <w:tr>
        <w:trPr/>
        <w:tc>
          <w:tcPr>
            <w:tcW w:w="2817" w:type="dxa"/>
            <w:tcBorders/>
          </w:tcPr>
          <w:p>
            <w:pPr>
              <w:pStyle w:val="Normal"/>
              <w:widowControl/>
              <w:spacing w:lineRule="auto" w:line="228" w:before="0" w:after="0"/>
              <w:ind w:hanging="0"/>
              <w:jc w:val="lef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kern w:val="0"/>
                <w:sz w:val="27"/>
                <w:szCs w:val="27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Количество волонтерских отрядов (корпусов)</w:t>
            </w:r>
          </w:p>
        </w:tc>
        <w:tc>
          <w:tcPr>
            <w:tcW w:w="147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шт.</w:t>
            </w:r>
          </w:p>
        </w:tc>
        <w:tc>
          <w:tcPr>
            <w:tcW w:w="1861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13</w:t>
            </w:r>
          </w:p>
        </w:tc>
        <w:tc>
          <w:tcPr>
            <w:tcW w:w="135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13</w:t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14</w:t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kern w:val="0"/>
                <w:sz w:val="27"/>
                <w:szCs w:val="27"/>
                <w:lang w:val="ru-RU" w:eastAsia="ru-RU" w:bidi="ar-SA"/>
              </w:rPr>
              <w:t>14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3. Структура муниципальной программы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tbl>
      <w:tblPr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02"/>
        <w:gridCol w:w="3110"/>
        <w:gridCol w:w="3001"/>
        <w:gridCol w:w="2284"/>
      </w:tblGrid>
      <w:tr>
        <w:trPr>
          <w:trHeight w:val="562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№</w:t>
            </w: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br/>
              <w:t>п/п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Задачи структурного элемента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Связь с показателями*</w:t>
            </w:r>
            <w:r>
              <w:rPr>
                <w:rFonts w:eastAsia="Times New Roman" w:ascii="Times New Roman" w:hAnsi="Times New Roman"/>
                <w:sz w:val="27"/>
                <w:szCs w:val="27"/>
                <w:vertAlign w:val="superscript"/>
                <w:lang w:eastAsia="ru-RU"/>
              </w:rPr>
              <w:t xml:space="preserve"> </w:t>
            </w:r>
          </w:p>
        </w:tc>
      </w:tr>
      <w:tr>
        <w:trPr>
          <w:trHeight w:val="170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>
        <w:trPr>
          <w:trHeight w:val="448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8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Региональный проект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1211" w:hanging="0"/>
              <w:contextualSpacing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</w:tr>
      <w:tr>
        <w:trPr>
          <w:trHeight w:val="448" w:hRule="atLeast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 рамках данной муниципальной программы региональный проект не реализуется.</w:t>
            </w:r>
          </w:p>
        </w:tc>
      </w:tr>
      <w:tr>
        <w:trPr>
          <w:trHeight w:val="448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8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Ведомственный проект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1211" w:hanging="0"/>
              <w:contextualSpacing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</w:tr>
      <w:tr>
        <w:trPr>
          <w:trHeight w:val="448" w:hRule="atLeast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В рамках данной муниципальной программы ведомственный проект не реализуется.</w:t>
            </w:r>
          </w:p>
        </w:tc>
      </w:tr>
      <w:tr>
        <w:trPr>
          <w:trHeight w:val="448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8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3. </w:t>
            </w: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Комплекс процессных мероприятий «Патриотическое воспитание граждан»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</w:tr>
      <w:tr>
        <w:trPr>
          <w:trHeight w:val="448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8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 культуре, спорту и молодежной политике Администрации  муниципального образования «Рославльский  район» Смоленской области</w:t>
              <w:br/>
              <w:t>Срок реализации 2022-2024 годы</w:t>
            </w:r>
          </w:p>
        </w:tc>
      </w:tr>
      <w:tr>
        <w:trPr>
          <w:trHeight w:val="247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3</w:t>
            </w:r>
            <w:r>
              <w:rPr>
                <w:rFonts w:eastAsia="Times New Roman" w:ascii="Times New Roman" w:hAnsi="Times New Roman"/>
                <w:sz w:val="27"/>
                <w:szCs w:val="27"/>
                <w:lang w:val="en-US" w:eastAsia="ru-RU"/>
              </w:rPr>
              <w:t>.1.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Созданы условия для патриотического воспитания граждан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Обеспечены условия для активного участия граждан в гражданско-патриотической деятельности.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Численность детей и молодежи в возрасте до 35 лет, вовлеченных в социально активную деятельность через увеличение охвата патриотическими проектами, количество мероприятий гражданско-патриотической, гражданско-правовой, военно-патриотической и спортивно-патриотической направленности, проведенных на территории муниципального образования</w:t>
            </w:r>
          </w:p>
        </w:tc>
      </w:tr>
      <w:tr>
        <w:trPr>
          <w:trHeight w:val="448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8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4</w:t>
            </w: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. Комплекс процессных мероприятий «Развитие молодежной политики»</w:t>
            </w:r>
          </w:p>
        </w:tc>
      </w:tr>
      <w:tr>
        <w:trPr>
          <w:trHeight w:val="448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8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Комитет по  культуре, спорту и молодежной политике Администрации  муниципального образования «Рославльский  район» Смоленской области </w:t>
              <w:br/>
            </w:r>
            <w:r>
              <w:rPr>
                <w:rFonts w:ascii="Times New Roman" w:hAnsi="Times New Roman"/>
                <w:sz w:val="27"/>
                <w:szCs w:val="27"/>
              </w:rPr>
              <w:t>Срок реализации 2022-2024 годы</w:t>
            </w:r>
          </w:p>
        </w:tc>
      </w:tr>
      <w:tr>
        <w:trPr>
          <w:trHeight w:val="247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4.1.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Обеспечена поддержка и сопровождение талантливой молодежи, работа с молодежью, оказавшейся в трудной жизненной ситуации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Созданы условия для развития молодежной политики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Доля молодежи, задействованной в мероприятиях по вовлечению в творческую деятельность по отношению к общему числу молодежи</w:t>
            </w:r>
          </w:p>
        </w:tc>
      </w:tr>
      <w:tr>
        <w:trPr>
          <w:trHeight w:val="247" w:hRule="atLeast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Комплекс процессных мероприятий «Развитие добровольчества (волонтерства)»</w:t>
            </w:r>
          </w:p>
        </w:tc>
      </w:tr>
      <w:tr>
        <w:trPr>
          <w:trHeight w:val="247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8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Комитет по культуре, спорту и молодежной политике Администрации муниципального образования «Рославльский район» Смоленской области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Срок реализации 2022-2024 годы</w:t>
            </w:r>
          </w:p>
        </w:tc>
      </w:tr>
      <w:tr>
        <w:trPr>
          <w:trHeight w:val="247" w:hRule="atLeast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5.1.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Проведена работа по расширению участия волонтеров в сфере гражданско-патриотического воспитания, оказана поддержка деятельности добровольцев при формировании волонтерских центров на базе общеобразовательных организаций образования, образовательных организаций среднего профессионального образования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Созданы условия для развития добровольчества (волонтерства)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Количество волонтерских отрядов (корпусов)</w:t>
            </w:r>
          </w:p>
        </w:tc>
      </w:tr>
      <w:tr>
        <w:trPr>
          <w:trHeight w:val="247" w:hRule="atLeast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Отдельные мероприятия</w:t>
            </w:r>
          </w:p>
        </w:tc>
      </w:tr>
      <w:tr>
        <w:trPr>
          <w:trHeight w:val="247" w:hRule="atLeast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В рамках данной муниципальной программы отдельные мероприятия не реализуются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4.  Финансовое обеспечение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 xml:space="preserve"> </w:t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44"/>
        <w:gridCol w:w="1651"/>
        <w:gridCol w:w="1488"/>
        <w:gridCol w:w="1608"/>
        <w:gridCol w:w="1609"/>
      </w:tblGrid>
      <w:tr>
        <w:trPr>
          <w:tblHeader w:val="true"/>
        </w:trPr>
        <w:tc>
          <w:tcPr>
            <w:tcW w:w="3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24" w:hanging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Всего</w:t>
            </w:r>
          </w:p>
        </w:tc>
        <w:tc>
          <w:tcPr>
            <w:tcW w:w="4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 xml:space="preserve">Объем финансового обеспечения по годам реализации </w:t>
              <w:br/>
              <w:t>(тыс. рублей)</w:t>
            </w:r>
          </w:p>
        </w:tc>
      </w:tr>
      <w:tr>
        <w:trPr>
          <w:tblHeader w:val="true"/>
          <w:trHeight w:val="448" w:hRule="atLeast"/>
        </w:trPr>
        <w:tc>
          <w:tcPr>
            <w:tcW w:w="36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</w:tr>
      <w:tr>
        <w:trPr>
          <w:tblHeader w:val="true"/>
          <w:trHeight w:val="254" w:hRule="atLeast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25"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 целом по муниципальной программе</w:t>
            </w: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,</w:t>
            </w:r>
          </w:p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в том числе: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259" w:hanging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 </w:t>
            </w:r>
            <w:r>
              <w:rPr>
                <w:rFonts w:ascii="Times New Roman" w:hAnsi="Times New Roman"/>
                <w:sz w:val="27"/>
                <w:szCs w:val="27"/>
              </w:rPr>
              <w:t>250,0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</w:t>
            </w:r>
            <w:r>
              <w:rPr>
                <w:rFonts w:ascii="Times New Roman" w:hAnsi="Times New Roman"/>
                <w:sz w:val="27"/>
                <w:szCs w:val="27"/>
              </w:rPr>
              <w:t>50,0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</w:t>
            </w:r>
            <w:r>
              <w:rPr>
                <w:rFonts w:ascii="Times New Roman" w:hAnsi="Times New Roman"/>
                <w:sz w:val="27"/>
                <w:szCs w:val="27"/>
              </w:rPr>
              <w:t>100,0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</w:t>
            </w:r>
            <w:r>
              <w:rPr>
                <w:rFonts w:ascii="Times New Roman" w:hAnsi="Times New Roman"/>
                <w:sz w:val="27"/>
                <w:szCs w:val="27"/>
              </w:rPr>
              <w:t>100,0</w:t>
            </w:r>
          </w:p>
        </w:tc>
      </w:tr>
      <w:tr>
        <w:trPr/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 </w:t>
            </w:r>
            <w:r>
              <w:rPr>
                <w:rFonts w:ascii="Times New Roman" w:hAnsi="Times New Roman"/>
                <w:sz w:val="27"/>
                <w:szCs w:val="27"/>
              </w:rPr>
              <w:t>250,0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</w:t>
            </w:r>
            <w:r>
              <w:rPr>
                <w:rFonts w:ascii="Times New Roman" w:hAnsi="Times New Roman"/>
                <w:sz w:val="27"/>
                <w:szCs w:val="27"/>
              </w:rPr>
              <w:t>50,0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</w:t>
            </w:r>
            <w:r>
              <w:rPr>
                <w:rFonts w:ascii="Times New Roman" w:hAnsi="Times New Roman"/>
                <w:sz w:val="27"/>
                <w:szCs w:val="27"/>
              </w:rPr>
              <w:t>100,0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</w:t>
            </w:r>
            <w:r>
              <w:rPr>
                <w:rFonts w:ascii="Times New Roman" w:hAnsi="Times New Roman"/>
                <w:sz w:val="27"/>
                <w:szCs w:val="27"/>
              </w:rPr>
              <w:t>100,0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hanging="0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right="140" w:hanging="0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bookmarkStart w:id="0" w:name="_GoBack"/>
      <w:bookmarkEnd w:id="0"/>
      <w:r>
        <w:rPr>
          <w:rFonts w:eastAsia="Times New Roman" w:ascii="Times New Roman" w:hAnsi="Times New Roman"/>
          <w:sz w:val="27"/>
          <w:szCs w:val="27"/>
          <w:lang w:eastAsia="ru-RU"/>
        </w:rPr>
        <w:t xml:space="preserve">Приложение    </w:t>
      </w:r>
    </w:p>
    <w:tbl>
      <w:tblPr>
        <w:tblStyle w:val="2"/>
        <w:tblW w:w="4676" w:type="dxa"/>
        <w:jc w:val="left"/>
        <w:tblInd w:w="55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6"/>
      </w:tblGrid>
      <w:tr>
        <w:trPr>
          <w:trHeight w:val="1926" w:hRule="atLeast"/>
        </w:trPr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к паспорту муниципальной программы «Патриотическое воспитание граждан и развитие молодежной политики на территории муниципального образования «Рославльский  район» Смоленской области»</w:t>
            </w:r>
          </w:p>
        </w:tc>
      </w:tr>
    </w:tbl>
    <w:p>
      <w:pPr>
        <w:pStyle w:val="Normal"/>
        <w:spacing w:lineRule="auto" w:line="240" w:before="0" w:after="0"/>
        <w:ind w:right="1700" w:firstLine="1701"/>
        <w:jc w:val="right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СВЕДЕНИЯ</w:t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>о показателях муниципальной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tbl>
      <w:tblPr>
        <w:tblW w:w="455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16"/>
        <w:gridCol w:w="4138"/>
        <w:gridCol w:w="4632"/>
      </w:tblGrid>
      <w:tr>
        <w:trPr>
          <w:trHeight w:val="419" w:hRule="atLeast"/>
          <w:cantSplit w:val="true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№</w:t>
            </w:r>
            <w:r>
              <w:rPr>
                <w:rFonts w:ascii="Times New Roman" w:hAnsi="Times New Roman"/>
                <w:sz w:val="27"/>
                <w:szCs w:val="27"/>
              </w:rPr>
              <w:br/>
              <w:t>п/п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Наименование  </w:t>
              <w:br/>
              <w:t>показателя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>
        <w:trPr>
          <w:trHeight w:val="279" w:hRule="atLeast"/>
          <w:cantSplit w:val="true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</w:tr>
      <w:tr>
        <w:trPr>
          <w:trHeight w:val="279" w:hRule="atLeast"/>
          <w:cantSplit w:val="true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Численность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Приказ Минпросвещения России от 01.02.2021 N 37 «Об утверждении методик расчета показателей федерального проекта «Патриотическое воспитание» национального проекта «Образование»</w:t>
            </w:r>
          </w:p>
        </w:tc>
      </w:tr>
      <w:tr>
        <w:trPr>
          <w:trHeight w:val="279" w:hRule="atLeast"/>
          <w:cantSplit w:val="true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Количество мероприятий гражданско-патриотической, гражданско-правовой, военно-патриотической и спортивно-патриотической направленности, проведенных на территории муниципального образования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Фактическое значение показателей</w:t>
            </w:r>
          </w:p>
        </w:tc>
      </w:tr>
      <w:tr>
        <w:trPr>
          <w:trHeight w:val="279" w:hRule="atLeast"/>
          <w:cantSplit w:val="true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Доля молодежи, задействованной в мероприятиях по вовлечению в творческую деятельность по отношению к общему числу молодежи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Приказ Федерального агентства по делам молодежи от 15 апреля 2019 г. № 118 "Об утверждении методики расчета показателей федерального проекта "Социальная активность" национального проекта "Образование"</w:t>
            </w:r>
          </w:p>
        </w:tc>
      </w:tr>
      <w:tr>
        <w:trPr>
          <w:trHeight w:val="279" w:hRule="atLeast"/>
          <w:cantSplit w:val="true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Количество волонтерских отрядов (корпусов)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Фактическое значение показателей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  <w:t>Раздел 2. ПАСПОРТА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комплексов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«Патриотическое воспитание граждан»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Ответственное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структурное подразделение</w:t>
            </w: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по  культуре, спорту и молодежной политике Администрации  муниципального образования «Рославльский  район» Смоленской области 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Связь с муниципальной программой 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Муниципальная  программа «Патриотическое воспитание граждан и развитие молодежной политики на территории муниципального образования «Рославльский  район» Смоленской области»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 xml:space="preserve">2. Показатели реализации комплекса процессных мероприятий 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07"/>
        <w:gridCol w:w="1455"/>
        <w:gridCol w:w="1535"/>
        <w:gridCol w:w="1468"/>
        <w:gridCol w:w="1570"/>
        <w:gridCol w:w="1466"/>
      </w:tblGrid>
      <w:tr>
        <w:trPr>
          <w:tblHeader w:val="true"/>
        </w:trPr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Наименование показателя реализации 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 xml:space="preserve">Базовое значение показателя реализации </w:t>
              <w:br/>
            </w:r>
          </w:p>
        </w:tc>
        <w:tc>
          <w:tcPr>
            <w:tcW w:w="4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1396" w:hRule="atLeast"/>
        </w:trPr>
        <w:tc>
          <w:tcPr>
            <w:tcW w:w="2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4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2021 год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 xml:space="preserve">Количество действующих гражданско-патриотических объединений, клубов, центров, в том числе детских и молодежных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8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8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8</w:t>
            </w:r>
          </w:p>
        </w:tc>
      </w:tr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Количество информационно-рекламной продукции гражданско-патриотической направленности.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шт.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70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170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200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200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«Развитие молодежной политики»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Ответственное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структурное подразделение</w:t>
            </w: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по культуре, спорту и молодежной политике Администрации муниципального образования «Рославльский район» Смоленской области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Связь с муниципальной программой 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Муниципальная  программа «Патриотическое воспитание граждан и развитие молодежной политики на территории муниципального образования «Рославльский  район» Смоленской области»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3"/>
        <w:gridCol w:w="1529"/>
        <w:gridCol w:w="1646"/>
        <w:gridCol w:w="1467"/>
        <w:gridCol w:w="1680"/>
        <w:gridCol w:w="1546"/>
      </w:tblGrid>
      <w:tr>
        <w:trPr>
          <w:tblHeader w:val="true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Наименование показателя реализации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 xml:space="preserve">Базовое значение показателя реализации </w:t>
            </w:r>
          </w:p>
        </w:tc>
        <w:tc>
          <w:tcPr>
            <w:tcW w:w="4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2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2021 год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5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Количество областных, всероссийских, международных конкурсов, фестивалей и смотров, в которых приняла участие молодежь муниципального образования «Рославльский район» Смоленской области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шт.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30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30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30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30</w:t>
            </w:r>
          </w:p>
        </w:tc>
      </w:tr>
      <w:tr>
        <w:trPr/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Количество мероприятий,  проводимых  для  молодежи на территории  муниципального образования «Рославльский район» Смоленской области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шт.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25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25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25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25</w:t>
            </w:r>
          </w:p>
        </w:tc>
      </w:tr>
      <w:tr>
        <w:trPr/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Количество информационно-рекламной продукции социальной направленности, издание информационных материалов в сфере молодежной политики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шт.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500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500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600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600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pacing w:val="2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  <w:lang w:eastAsia="ru-RU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«Развитие добровольчества (волонтерства)»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Ответственное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структурное подразделение</w:t>
            </w: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по культуре, спорту и молодежной политике Администрации муниципального образования «Рославльский район» Смоленской области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Связь с муниципальной программой 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Муниципальная  программа «Патриотическое воспитание граждан и развитие молодежной политики на территории муниципального образования «Рославльский  район» Смоленской области»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 xml:space="preserve">  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89"/>
        <w:gridCol w:w="1662"/>
        <w:gridCol w:w="1571"/>
        <w:gridCol w:w="1462"/>
        <w:gridCol w:w="1461"/>
        <w:gridCol w:w="1459"/>
      </w:tblGrid>
      <w:tr>
        <w:trPr>
          <w:tblHeader w:val="true"/>
        </w:trPr>
        <w:tc>
          <w:tcPr>
            <w:tcW w:w="2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Наименование показателя реализации 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 xml:space="preserve">Базовое значение показателя реализации </w:t>
            </w:r>
          </w:p>
        </w:tc>
        <w:tc>
          <w:tcPr>
            <w:tcW w:w="4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5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2021 год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5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Доля граждан, вовлеченных в добровольческую деятельность в муниципальном образовании «Рославльский район» Смоленской области по отношению к общему числу  жителей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0,5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0,7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0,8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0,8</w:t>
            </w:r>
          </w:p>
        </w:tc>
      </w:tr>
      <w:tr>
        <w:trPr>
          <w:trHeight w:val="433" w:hRule="atLeast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</w:rPr>
              <w:t>Количество добровольцев, зарегистрированных в единой информационной системе «Добровольцы России»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408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          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500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          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600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          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650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Раздел 3. ОЦЕНКА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 xml:space="preserve">применения мер муниципального </w:t>
        <w:br/>
        <w:t xml:space="preserve">регулирования в части налоговых льгот, освобождений и иных преференций по налогам </w:t>
        <w:br/>
        <w:t>и сборам в сфере реализации муниципальной программы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  <w:t>«Патриотическое воспитание граждан и развитие молодежной политики на территории муниципального образования «Рославльский район» Смоленской области»</w:t>
      </w:r>
    </w:p>
    <w:p>
      <w:pPr>
        <w:pStyle w:val="Normal"/>
        <w:spacing w:lineRule="auto" w:line="240" w:before="0" w:after="0"/>
        <w:ind w:right="1700" w:hanging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right="-1" w:firstLine="709"/>
        <w:jc w:val="both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  <w:t>В рамках данной муниципальной программы меры муниципального регулирования в части налоговых льгот, освобождений и иных преференций по льготам и сборам не применяются.</w:t>
      </w:r>
    </w:p>
    <w:p>
      <w:pPr>
        <w:pStyle w:val="Normal"/>
        <w:spacing w:lineRule="auto" w:line="240" w:before="0" w:after="0"/>
        <w:ind w:left="1701" w:right="1700" w:hanging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p>
      <w:pPr>
        <w:sectPr>
          <w:headerReference w:type="default" r:id="rId2"/>
          <w:type w:val="nextPage"/>
          <w:pgSz w:w="11906" w:h="16838"/>
          <w:pgMar w:left="1134" w:right="567" w:gutter="0" w:header="557" w:top="1134" w:footer="0" w:bottom="1701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Раздел 4. СВЕДЕНИЯ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 xml:space="preserve">о финансировании структурных элементов 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  <w:t>муниципальной программы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ru-RU"/>
        </w:rPr>
      </w:pPr>
      <w:r>
        <w:rPr>
          <w:rFonts w:eastAsia="Times New Roman"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  <w:t>«Патриотическое воспитание граждан и развитие молодежной политики на территории муниципального образования «Рославльский район» Смоленской области»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</w:r>
    </w:p>
    <w:tbl>
      <w:tblPr>
        <w:tblW w:w="14351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9"/>
        <w:gridCol w:w="2583"/>
        <w:gridCol w:w="2410"/>
        <w:gridCol w:w="2267"/>
        <w:gridCol w:w="1560"/>
        <w:gridCol w:w="1559"/>
        <w:gridCol w:w="1844"/>
        <w:gridCol w:w="1557"/>
      </w:tblGrid>
      <w:tr>
        <w:trPr>
          <w:trHeight w:val="1038" w:hRule="atLeast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п/п</w:t>
            </w:r>
          </w:p>
        </w:tc>
        <w:tc>
          <w:tcPr>
            <w:tcW w:w="25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Участник муниципальной программы 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34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>
        <w:trPr>
          <w:trHeight w:val="327" w:hRule="atLeast"/>
        </w:trPr>
        <w:tc>
          <w:tcPr>
            <w:tcW w:w="56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267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34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sz w:val="27"/>
                <w:szCs w:val="27"/>
                <w:shd w:fill="FFFFFF" w:val="clear"/>
                <w:lang w:eastAsia="ru-RU"/>
              </w:rPr>
              <w:t>2022 год</w:t>
            </w:r>
          </w:p>
        </w:tc>
        <w:tc>
          <w:tcPr>
            <w:tcW w:w="1844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sz w:val="27"/>
                <w:szCs w:val="27"/>
                <w:shd w:fill="FFFFFF" w:val="clear"/>
                <w:lang w:eastAsia="ru-RU"/>
              </w:rPr>
              <w:t>2023 год</w:t>
            </w:r>
          </w:p>
        </w:tc>
        <w:tc>
          <w:tcPr>
            <w:tcW w:w="1557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color w:val="22272F"/>
                <w:sz w:val="27"/>
                <w:szCs w:val="27"/>
                <w:shd w:fill="FFFFFF" w:val="clear"/>
                <w:lang w:eastAsia="ru-RU"/>
              </w:rPr>
              <w:t>2024 год</w:t>
            </w:r>
          </w:p>
        </w:tc>
      </w:tr>
      <w:tr>
        <w:trPr>
          <w:trHeight w:val="80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69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8</w:t>
            </w:r>
          </w:p>
        </w:tc>
      </w:tr>
      <w:tr>
        <w:trPr>
          <w:trHeight w:val="397" w:hRule="atLeast"/>
        </w:trPr>
        <w:tc>
          <w:tcPr>
            <w:tcW w:w="5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 xml:space="preserve">1. </w:t>
            </w:r>
          </w:p>
        </w:tc>
        <w:tc>
          <w:tcPr>
            <w:tcW w:w="13780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Комплекс процессных мероприятий «Патриотическое воспитание граждан»</w:t>
            </w:r>
          </w:p>
        </w:tc>
      </w:tr>
      <w:tr>
        <w:trPr>
          <w:trHeight w:val="397" w:hRule="atLeast"/>
        </w:trPr>
        <w:tc>
          <w:tcPr>
            <w:tcW w:w="56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Организация и проведение районных и городских мероприятий гражданско-патриотической направленности, включая проведение мероприятий, посвященных государственным праздникам, дням воинской славы  и памятным датам, праздникам  России, Смоленской области, Рославльского района, допризывная подготовка молодежи, а также связанных с увековечением памяти погибших при защите Отечества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политике, МБУК «РМЦБС», МБУК «РЦКС», МБУ КЦ «Юбилейный»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75,0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25,0</w:t>
            </w:r>
          </w:p>
        </w:tc>
      </w:tr>
      <w:tr>
        <w:trPr>
          <w:trHeight w:val="397" w:hRule="atLeast"/>
        </w:trPr>
        <w:tc>
          <w:tcPr>
            <w:tcW w:w="56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Содействие участию молодежи и граждан в международных, всероссийских, межрегиональных, региональных, областных межмуниципальных мероприятиях гражданско-патриотической направленности, воспитание толерантности электоральной активности молодежи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 ,МО ВВПОД «Юнармия», поисковый отряд «Память»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</w:tr>
      <w:tr>
        <w:trPr>
          <w:trHeight w:val="418" w:hRule="atLeast"/>
        </w:trPr>
        <w:tc>
          <w:tcPr>
            <w:tcW w:w="5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Подготовка и проведение мероприятий по гражданско-патриотическому воспитанию, в том числе: патриотическое воспитание и допризывная подготовка молодежи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политике, Комитет образования, Рославльская районная общественная организация ветеранов боевых действий, Военный комиссариат г.Рославль, Совет ветеранов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</w:tr>
      <w:tr>
        <w:trPr>
          <w:trHeight w:val="418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Обеспечение участия и проведение «Вахт Памяти»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политике,  поисковый отряд «Память»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120,0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20,0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50,0</w:t>
            </w:r>
          </w:p>
        </w:tc>
      </w:tr>
      <w:tr>
        <w:trPr>
          <w:trHeight w:val="418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Изготовление и размещение информационно-рекламной продукции гражданско-патриотической направленности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0,0</w:t>
            </w:r>
          </w:p>
        </w:tc>
      </w:tr>
      <w:tr>
        <w:trPr>
          <w:trHeight w:val="418" w:hRule="atLeast"/>
        </w:trPr>
        <w:tc>
          <w:tcPr>
            <w:tcW w:w="31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195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45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75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75</w:t>
            </w:r>
          </w:p>
        </w:tc>
      </w:tr>
      <w:tr>
        <w:trPr>
          <w:trHeight w:val="418" w:hRule="atLeast"/>
        </w:trPr>
        <w:tc>
          <w:tcPr>
            <w:tcW w:w="5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13780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Комплекс процессных мероприятий «Развитие молодежной политики»</w:t>
            </w:r>
          </w:p>
        </w:tc>
      </w:tr>
      <w:tr>
        <w:trPr>
          <w:trHeight w:val="533" w:hRule="atLeast"/>
        </w:trPr>
        <w:tc>
          <w:tcPr>
            <w:tcW w:w="56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Поддержка и сопровождение талантливой молодежи. Информационное обеспечение молодежной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политике, МБУК «РМЦБС», МБУК «РЦКС», МБУ КЦ «Юбилейный</w:t>
            </w:r>
            <w:r>
              <w:rPr>
                <w:rFonts w:eastAsia="Times New Roman" w:ascii="Times New Roman" w:hAnsi="Times New Roman"/>
                <w:b/>
                <w:i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25,0</w:t>
            </w:r>
          </w:p>
        </w:tc>
      </w:tr>
      <w:tr>
        <w:trPr>
          <w:trHeight w:val="533" w:hRule="atLeast"/>
        </w:trPr>
        <w:tc>
          <w:tcPr>
            <w:tcW w:w="56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Пропаганда здорового образа жизни. Работа с молодежью, оказавшейся в трудной жизненной ситуации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политике, МБУК «РМЦБС», МБУК «РЦКС», МБУ КЦ «Юбилейный»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>
        <w:trPr>
          <w:trHeight w:val="533" w:hRule="atLeast"/>
        </w:trPr>
        <w:tc>
          <w:tcPr>
            <w:tcW w:w="56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Развитие молодежного и студенческого самоуправления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политике, МБУК «РМЦБС», МБУК «РЦКС», МБУ КЦ «Юбилейный»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>
        <w:trPr>
          <w:trHeight w:val="533" w:hRule="atLeast"/>
        </w:trPr>
        <w:tc>
          <w:tcPr>
            <w:tcW w:w="5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25,0</w:t>
            </w:r>
          </w:p>
        </w:tc>
      </w:tr>
      <w:tr>
        <w:trPr>
          <w:trHeight w:val="533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137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Комплекс процессных мероприятий «Развитие добровольчества (волонтерства)»</w:t>
            </w:r>
          </w:p>
        </w:tc>
      </w:tr>
      <w:tr>
        <w:trPr>
          <w:trHeight w:val="533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Организация работы по расширению участия волонтеров в сфере гражданско-патриотического воспитания, в том числе в оказании помощи ветеранам Великой Отечественной войны и боевых действий; во взаимодействии с ветеранскими организациями; благоустройстве памятных мест, содействие в увековечении памяти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образования,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МБУК «РМЦБС», МБУК «РЦКС», МБУ КЦ «Юбилейный»,   МБУК «ДК «Ростислав»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финансирование не предусмотрено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</w:tr>
      <w:tr>
        <w:trPr>
          <w:trHeight w:val="533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Поддержка деятельности добровольцев в сфере образования, в том числе при формировании волонтерских центров на базе общеобразовательных организаций образования, образовательных организаций среднего профессионального образования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политике, Комитет образования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финансирование не предусмотрено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</w:tr>
      <w:tr>
        <w:trPr>
          <w:trHeight w:val="533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Оказание содействия в регистрации добровольцев в единой информационной системе «Добровольцы России»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образования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финансирование не предусмотрено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</w:tr>
      <w:tr>
        <w:trPr>
          <w:trHeight w:val="533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Участие волонтеров в организации акций, посвященных памятным событиям в истории Российской Федерации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по культуре, спорту и молодежной политике,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Комитет образования, МБУК «РМЦБС», МБУК «РЦКС», МБУ КЦ «Юбилейный»,   МБУК «ДК «Ростислав»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  <w:lang w:eastAsia="ru-RU"/>
              </w:rPr>
              <w:t>финансирование не предусмотрено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-</w:t>
            </w:r>
          </w:p>
        </w:tc>
      </w:tr>
      <w:tr>
        <w:trPr>
          <w:trHeight w:val="1954" w:hRule="atLeast"/>
        </w:trPr>
        <w:tc>
          <w:tcPr>
            <w:tcW w:w="5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Всего по муниципальной программе, в том числе: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250,0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50,0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100,0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100,0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100,0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5978" w:leader="none"/>
          <w:tab w:val="left" w:pos="6262" w:leader="none"/>
          <w:tab w:val="right" w:pos="10204" w:leader="none"/>
          <w:tab w:val="left" w:pos="10490" w:leader="none"/>
          <w:tab w:val="right" w:pos="14570" w:leader="none"/>
        </w:tabs>
        <w:spacing w:lineRule="auto" w:line="240" w:before="0" w:after="0"/>
        <w:rPr>
          <w:sz w:val="27"/>
          <w:szCs w:val="27"/>
        </w:rPr>
      </w:pPr>
      <w:r>
        <w:rPr/>
      </w:r>
    </w:p>
    <w:sectPr>
      <w:headerReference w:type="default" r:id="rId3"/>
      <w:type w:val="nextPage"/>
      <w:pgSz w:orient="landscape" w:w="16838" w:h="11906"/>
      <w:pgMar w:left="1134" w:right="1134" w:gutter="0" w:header="556" w:top="613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spacing w:before="0" w:after="20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16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spacing w:before="0" w:after="20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22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3">
    <w:lvl w:ilvl="0">
      <w:start w:val="5"/>
      <w:numFmt w:val="decimal"/>
      <w:lvlText w:val="%1.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8300c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semiHidden/>
    <w:qFormat/>
    <w:rsid w:val="00f8300c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с отступом Знак"/>
    <w:basedOn w:val="DefaultParagraphFont"/>
    <w:link w:val="a5"/>
    <w:semiHidden/>
    <w:qFormat/>
    <w:rsid w:val="00ca5f33"/>
    <w:rPr>
      <w:rFonts w:ascii="Times New Roman" w:hAnsi="Times New Roman" w:eastAsia="Times New Roman" w:cs="Times New Roman"/>
      <w:sz w:val="20"/>
      <w:szCs w:val="20"/>
      <w:lang w:val="x-none" w:eastAsia="ru-RU"/>
    </w:rPr>
  </w:style>
  <w:style w:type="character" w:styleId="Style16" w:customStyle="1">
    <w:name w:val="Верхний колонтитул Знак"/>
    <w:basedOn w:val="DefaultParagraphFont"/>
    <w:link w:val="a7"/>
    <w:uiPriority w:val="99"/>
    <w:qFormat/>
    <w:rsid w:val="00ca5f33"/>
    <w:rPr>
      <w:rFonts w:ascii="Calibri" w:hAnsi="Calibri" w:eastAsia="Times New Roman" w:cs="Times New Roman"/>
      <w:lang w:val="x-none"/>
    </w:rPr>
  </w:style>
  <w:style w:type="character" w:styleId="Style17" w:customStyle="1">
    <w:name w:val="Нижний колонтитул Знак"/>
    <w:basedOn w:val="DefaultParagraphFont"/>
    <w:link w:val="a9"/>
    <w:qFormat/>
    <w:rsid w:val="00ca5f33"/>
    <w:rPr>
      <w:rFonts w:ascii="Calibri" w:hAnsi="Calibri" w:eastAsia="Times New Roman" w:cs="Times New Roman"/>
      <w:lang w:val="x-none"/>
    </w:rPr>
  </w:style>
  <w:style w:type="character" w:styleId="Style18">
    <w:name w:val="Интернет-ссылка"/>
    <w:uiPriority w:val="99"/>
    <w:unhideWhenUsed/>
    <w:rsid w:val="00ca5f33"/>
    <w:rPr>
      <w:color w:val="0000FF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f8300c"/>
    <w:pPr>
      <w:widowControl w:val="fals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BalloonText">
    <w:name w:val="Balloon Text"/>
    <w:basedOn w:val="Normal"/>
    <w:link w:val="a4"/>
    <w:semiHidden/>
    <w:unhideWhenUsed/>
    <w:qFormat/>
    <w:rsid w:val="00f8300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Cell" w:customStyle="1">
    <w:name w:val="ConsPlusCell"/>
    <w:qFormat/>
    <w:rsid w:val="00ca5f33"/>
    <w:pPr>
      <w:widowControl w:val="fals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qFormat/>
    <w:rsid w:val="00ca5f33"/>
    <w:pPr>
      <w:widowControl w:val="false"/>
      <w:bidi w:val="0"/>
      <w:spacing w:lineRule="auto" w:line="240"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0"/>
      <w:szCs w:val="20"/>
      <w:lang w:eastAsia="ru-RU" w:val="ru-RU" w:bidi="ar-SA"/>
    </w:rPr>
  </w:style>
  <w:style w:type="paragraph" w:styleId="ConsNormal" w:customStyle="1">
    <w:name w:val="ConsNormal"/>
    <w:qFormat/>
    <w:rsid w:val="00ca5f33"/>
    <w:pPr>
      <w:widowControl/>
      <w:bidi w:val="0"/>
      <w:spacing w:lineRule="auto" w:line="240" w:before="0" w:after="0"/>
      <w:ind w:firstLine="72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eastAsia="ru-RU" w:val="ru-RU" w:bidi="ar-SA"/>
    </w:rPr>
  </w:style>
  <w:style w:type="paragraph" w:styleId="1" w:customStyle="1">
    <w:name w:val="Без интервала1"/>
    <w:qFormat/>
    <w:rsid w:val="00ca5f33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Title" w:customStyle="1">
    <w:name w:val="ConsPlusTitle"/>
    <w:qFormat/>
    <w:rsid w:val="00ca5f33"/>
    <w:pPr>
      <w:widowControl w:val="false"/>
      <w:bidi w:val="0"/>
      <w:spacing w:lineRule="auto" w:line="240" w:before="0" w:after="0"/>
      <w:jc w:val="left"/>
    </w:pPr>
    <w:rPr>
      <w:rFonts w:ascii="Arial" w:hAnsi="Arial" w:eastAsia="Calibri" w:cs="Arial" w:eastAsiaTheme="minorHAnsi"/>
      <w:b/>
      <w:bCs/>
      <w:color w:val="auto"/>
      <w:kern w:val="0"/>
      <w:sz w:val="20"/>
      <w:szCs w:val="20"/>
      <w:lang w:eastAsia="ru-RU" w:val="ru-RU" w:bidi="ar-SA"/>
    </w:rPr>
  </w:style>
  <w:style w:type="paragraph" w:styleId="Style24">
    <w:name w:val="Body Text Indent"/>
    <w:basedOn w:val="Normal"/>
    <w:link w:val="a6"/>
    <w:semiHidden/>
    <w:rsid w:val="00ca5f33"/>
    <w:pPr>
      <w:widowControl w:val="false"/>
      <w:snapToGrid w:val="false"/>
      <w:spacing w:lineRule="auto" w:line="240" w:before="0" w:after="0"/>
      <w:ind w:left="320" w:firstLine="560"/>
      <w:jc w:val="both"/>
    </w:pPr>
    <w:rPr>
      <w:rFonts w:ascii="Times New Roman" w:hAnsi="Times New Roman" w:eastAsia="Times New Roman"/>
      <w:sz w:val="20"/>
      <w:szCs w:val="20"/>
      <w:lang w:val="x-none" w:eastAsia="ru-RU"/>
    </w:rPr>
  </w:style>
  <w:style w:type="paragraph" w:styleId="11" w:customStyle="1">
    <w:name w:val="Абзац списка1"/>
    <w:basedOn w:val="Normal"/>
    <w:qFormat/>
    <w:rsid w:val="00ca5f33"/>
    <w:pPr>
      <w:spacing w:lineRule="auto" w:line="240" w:before="0" w:after="0"/>
      <w:ind w:left="720" w:hanging="0"/>
    </w:pPr>
    <w:rPr>
      <w:rFonts w:ascii="Times New Roman" w:hAnsi="Times New Roman"/>
      <w:sz w:val="20"/>
      <w:szCs w:val="20"/>
      <w:lang w:eastAsia="ru-RU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a8"/>
    <w:uiPriority w:val="99"/>
    <w:rsid w:val="00ca5f33"/>
    <w:pPr>
      <w:tabs>
        <w:tab w:val="clear" w:pos="708"/>
        <w:tab w:val="center" w:pos="4677" w:leader="none"/>
        <w:tab w:val="right" w:pos="9355" w:leader="none"/>
      </w:tabs>
    </w:pPr>
    <w:rPr>
      <w:rFonts w:eastAsia="Times New Roman"/>
      <w:lang w:val="x-none"/>
    </w:rPr>
  </w:style>
  <w:style w:type="paragraph" w:styleId="Style27">
    <w:name w:val="Footer"/>
    <w:basedOn w:val="Normal"/>
    <w:link w:val="aa"/>
    <w:rsid w:val="00ca5f33"/>
    <w:pPr>
      <w:tabs>
        <w:tab w:val="clear" w:pos="708"/>
        <w:tab w:val="center" w:pos="4677" w:leader="none"/>
        <w:tab w:val="right" w:pos="9355" w:leader="none"/>
      </w:tabs>
    </w:pPr>
    <w:rPr>
      <w:rFonts w:eastAsia="Times New Roman"/>
      <w:lang w:val="x-none"/>
    </w:rPr>
  </w:style>
  <w:style w:type="paragraph" w:styleId="S1" w:customStyle="1">
    <w:name w:val="s_1"/>
    <w:basedOn w:val="Normal"/>
    <w:qFormat/>
    <w:rsid w:val="00ca5f33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3c6f4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semiHidden/>
    <w:unhideWhenUsed/>
    <w:qFormat/>
    <w:rsid w:val="00ca5f33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ca5f3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1"/>
    <w:basedOn w:val="a1"/>
    <w:uiPriority w:val="39"/>
    <w:rsid w:val="00ca5f33"/>
    <w:pPr>
      <w:spacing w:after="0" w:line="240" w:lineRule="auto"/>
    </w:pPr>
    <w:rPr>
      <w:sz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">
    <w:name w:val="Сетка таблицы11"/>
    <w:basedOn w:val="a1"/>
    <w:uiPriority w:val="39"/>
    <w:rsid w:val="00e46d41"/>
    <w:pPr>
      <w:spacing w:after="0" w:line="240" w:lineRule="auto"/>
    </w:pPr>
    <w:rPr>
      <w:sz w:val="28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rsid w:val="00cc27ea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4DE56-ABE4-4325-A877-AF4B388B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Application>LibreOffice/7.2.4.1$Windows_X86_64 LibreOffice_project/27d75539669ac387bb498e35313b970b7fe9c4f9</Application>
  <AppVersion>15.0000</AppVersion>
  <Pages>22</Pages>
  <Words>3002</Words>
  <Characters>22859</Characters>
  <CharactersWithSpaces>25700</CharactersWithSpaces>
  <Paragraphs>423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2022-03-21T14:09:00Z</dcterms:created>
  <dc:creator>T-34 CCCP</dc:creator>
  <dc:description/>
  <dc:language>ru-RU</dc:language>
  <cp:lastModifiedBy>ССТУ</cp:lastModifiedBy>
  <cp:lastPrinted>2022-04-01T11:07:37Z</cp:lastPrinted>
  <dcterms:modified xsi:type="dcterms:W3CDTF">2022-03-30T14:37:00Z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