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vertAnchor="margin" w:horzAnchor="margin" w:tblpXSpec="right" w:leftFromText="180" w:rightFromText="180" w:tblpY="-405"/>
        <w:tblW w:w="489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893"/>
      </w:tblGrid>
      <w:tr>
        <w:trPr/>
        <w:tc>
          <w:tcPr>
            <w:tcW w:w="48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Утверждена</w:t>
              <w:br/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«Рославльский  район» Смоленской области от 10.11.2016 № 2097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(в редакции постановлений Администрации муниципального образования «Рославльский район» Смоленской области от 22.02.2017 №361, от 06.04.2017 №651, от 20.09.2017 №1891, от 27.12.2017 №2621,от23.03.2018 №545, от 28.12.2018 №2345, от 26.03.2019 №550, от 04.07.2019 №1196, от 02.10.2019№1635, от 04.10.2019 №1649, от 27.12.2019 №2136, от 23.03.2020 №441, от 26.08.2020 №1157, 30.12.2020 №1804, от 31.03.2021 №401, от 30.12.2021 №1895, от </w:t>
            </w:r>
            <w:r>
              <w:rPr>
                <w:rFonts w:ascii="Times New Roman" w:hAnsi="Times New Roman"/>
                <w:sz w:val="24"/>
                <w:szCs w:val="24"/>
              </w:rPr>
              <w:t>30.03.2022 № 358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Муниципальная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«Благоустройство и озеленение территории Рославльского городского поселения Рославльского района Смоленской области» 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Раздел 1.Стратегические приоритеты в сфере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Благоустройство территории оказывает непосредственное влияние на качество и уровень жизни населения и охватывает вопросы технического и санитарного содержания территории, решение которых направленно на создание благоприятных, здоровых и культурных условий жизни и досуга населения.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Внешний облик Рославльского городского поселения Рославльского района Смоленской области (далее- Рославльское городское поселение), его эстетический вид во многом зависят от степени благоустроенности территории, от площади озеленения, размещенных малых архитектурных форм.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Повышение уровня благоустройства территории стимулирует позитивные тенденции в социально-экономическом развитии Рославльского городского поселения, как следствие, повышение качества жизни населения.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Имеющиеся объекты благоустройства, расположенные на территории Рославльского городского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Финансово – экономические механизмы, обеспечивающие восстановление, ремонт существующих объектов благоустройства, эффективны, но решение проблемы требует комплексного подхода.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Реализация программы направлена на: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создание условий для улучшения качества жизни населения;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осуществление мероприятий по обеспечению безопасности жизнедеятельности и сохранения окружающей среды.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На территории Рославльского городского поселения выполняются работы по озеленению, уличному освещению, ежегодно ликвидируются большие и малые несанкционированные свалки мусора, для предупреждения загрязнений территории проводится профилактическая работа с населением, устанавливаются предупредительные и запрещающие таблички, проводится ремонт контейнерных площадок и установка дополнительных контейнеров для сбора мусора.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Ежегодно в весенне - летний период на территории Рославльского городского поселения производится устройство цветников на площади 1250,96 кв. 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По заявлениям жителей Рославльского городского поселения и ежегодному обследованию деревьев на предмет аварийности, ведется постоянная работа по спилу  сухих и аварийных деревьев, в среднем в год удаляется до 45 деревьев.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В летний период осуществляется </w:t>
      </w:r>
      <w:r>
        <w:rPr>
          <w:rFonts w:eastAsia="Calibri" w:ascii="Times New Roman" w:hAnsi="Times New Roman"/>
          <w:sz w:val="27"/>
          <w:szCs w:val="27"/>
          <w:lang w:eastAsia="ru-RU"/>
        </w:rPr>
        <w:t>скашивание травы на ландшафтно-рекреационной территории Рославльского городского поселения</w:t>
      </w:r>
      <w:r>
        <w:rPr>
          <w:rFonts w:ascii="Times New Roman" w:hAnsi="Times New Roman"/>
          <w:sz w:val="27"/>
          <w:szCs w:val="27"/>
          <w:lang w:eastAsia="ru-RU"/>
        </w:rPr>
        <w:t xml:space="preserve"> на площади 118158,75 кв. метров.</w:t>
      </w:r>
    </w:p>
    <w:p>
      <w:pPr>
        <w:pStyle w:val="Normal"/>
        <w:tabs>
          <w:tab w:val="clear" w:pos="708"/>
          <w:tab w:val="left" w:pos="0" w:leader="none"/>
          <w:tab w:val="left" w:pos="4962" w:leader="none"/>
          <w:tab w:val="left" w:pos="93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По состоянию на 01.01.2022 год система наружного освещения Рославльского городского поселения представляет собой линию наружного освещения общей протяженностью 255,8 км и имеет 3959 единиц светильников, из них 3406 светильников со светодиодными лампами с подключением автоматизированной системы управления, 553 безучетных светильника.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</w:t>
      </w:r>
      <w:r>
        <w:rPr>
          <w:rFonts w:ascii="Times New Roman" w:hAnsi="Times New Roman"/>
          <w:sz w:val="27"/>
          <w:szCs w:val="27"/>
        </w:rPr>
        <w:t xml:space="preserve">В 2019 году был заключен энергосервисный контракт по результатам которого выполнена замена 1302 светильников уличного освещения, проложено 9,67 км. СИПс установкой дополнительных светильников 233 шт. В настоящее время подключено 53 щита с автоматизированным управлением.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Работы в рамках энергосервисного контракта позволили сэкономить потребление электрической энергии на сетях уличного освещении. Потребление электроэнергии на уличное освещение составило:в 2020 году 1650,987 </w:t>
      </w:r>
      <w:r>
        <w:rPr>
          <w:rFonts w:ascii="Times New Roman" w:hAnsi="Times New Roman"/>
          <w:sz w:val="27"/>
          <w:szCs w:val="27"/>
          <w:lang w:eastAsia="ru-RU"/>
        </w:rPr>
        <w:t>тыс. кВт/ч, в 2021 году 1417,959 тыс. кВт/ч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 проведении энергосервисного контракта в основном выполнялись работы по замене существующего оборудования, поэтому совместно с техническим обслуживанием оборудования уличного освещения города продолжаются работы по строительству, техническому присоединению и подключению новых линий уличного освещения. Также ведутся работы по техническому обслуживанию существующих сетей, замене и ремонту установленного оборудования.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В то же время в вопросах благоустройства и озеленения территории Рославльского городского поселения имеется ряд проблем.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Несмотря на предпринимаемые меры, периодически образуются  несанкционированные свалки мусора и бытовых отходов. 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числу основных проблем в части организации содержания мест захоронения относятся: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отсутствие контейнерных площадок и недостаточное количество контейнеров для мусора, что  приводит к несанкционированным свалкам внутри секторов; </w:t>
      </w:r>
    </w:p>
    <w:p>
      <w:pPr>
        <w:pStyle w:val="Normal"/>
        <w:spacing w:lineRule="auto" w:line="240" w:before="0" w:after="0"/>
        <w:ind w:left="-567" w:right="-284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подъездные пути к кладбищам требуют капитального ремонта; 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на местах захоронения необходимо осуществлять работы по сносу аварийных деревьев. Ситуация осложняется тем, что работы требуют привлечения спецтехники в стесненных условиях.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Все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граждан Рославльского городского поселения.</w:t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ab/>
        <w:t>Для решения проблем по благоустройству Рославльского городского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ind w:hanging="0"/>
        <w:jc w:val="center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муниципальной программы «Благоустройство и озеленение  территории Рославльского городского поселения Рославльского района Смоленской области»  </w:t>
      </w:r>
    </w:p>
    <w:p>
      <w:pPr>
        <w:pStyle w:val="Normal"/>
        <w:tabs>
          <w:tab w:val="clear" w:pos="708"/>
          <w:tab w:val="left" w:pos="1218" w:leader="none"/>
        </w:tabs>
        <w:spacing w:lineRule="auto" w:line="24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 Основные положения</w:t>
      </w:r>
    </w:p>
    <w:tbl>
      <w:tblPr>
        <w:tblW w:w="100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0" w:noHBand="0" w:val="04e0"/>
      </w:tblPr>
      <w:tblGrid>
        <w:gridCol w:w="4848"/>
        <w:gridCol w:w="5244"/>
      </w:tblGrid>
      <w:tr>
        <w:trPr/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 (далее – Комитет ЖКХ)</w:t>
            </w:r>
          </w:p>
        </w:tc>
      </w:tr>
      <w:tr>
        <w:trPr>
          <w:trHeight w:val="691" w:hRule="atLeast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Период реализации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lang w:val="en-US"/>
              </w:rPr>
              <w:t>I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этап: 2017-2021 годы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этап: 2022-2024 годы</w:t>
            </w:r>
          </w:p>
        </w:tc>
      </w:tr>
      <w:tr>
        <w:trPr>
          <w:trHeight w:val="691" w:hRule="atLeast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Повышение уровня благоустройства на территории Рославльского городского поселения Рославльского района Смоленской области</w:t>
            </w:r>
          </w:p>
        </w:tc>
      </w:tr>
      <w:tr>
        <w:trPr/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  <w:lang w:eastAsia="ru-RU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both"/>
              <w:rPr>
                <w:rStyle w:val="Style14"/>
                <w:rFonts w:ascii="Times New Roman" w:hAnsi="Times New Roman"/>
                <w:i w:val="false"/>
                <w:i w:val="false"/>
                <w:sz w:val="27"/>
                <w:szCs w:val="27"/>
              </w:rPr>
            </w:pPr>
            <w:r>
              <w:rPr>
                <w:rStyle w:val="Style14"/>
                <w:rFonts w:ascii="Times New Roman" w:hAnsi="Times New Roman"/>
                <w:i w:val="false"/>
                <w:sz w:val="27"/>
                <w:szCs w:val="27"/>
              </w:rPr>
              <w:t>Общий объем финансирования программы составляет 281783,8 тыс. руб., источником финансирования программы являются средства бюджета Рославльского городского поселения, в том числе по годам:</w:t>
            </w:r>
          </w:p>
          <w:p>
            <w:pPr>
              <w:pStyle w:val="NoSpacing"/>
              <w:widowControl w:val="false"/>
              <w:jc w:val="both"/>
              <w:rPr>
                <w:rStyle w:val="Style14"/>
                <w:rFonts w:ascii="Times New Roman" w:hAnsi="Times New Roman"/>
                <w:i w:val="false"/>
                <w:i w:val="false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2017 год – 2021 год-152077,7 тыс. руб.;</w:t>
            </w:r>
          </w:p>
          <w:p>
            <w:pPr>
              <w:pStyle w:val="Default"/>
              <w:widowControl w:val="false"/>
              <w:jc w:val="both"/>
              <w:rPr>
                <w:rFonts w:eastAsia="Calibri"/>
                <w:color w:val="auto"/>
                <w:sz w:val="27"/>
                <w:szCs w:val="27"/>
              </w:rPr>
            </w:pPr>
            <w:r>
              <w:rPr>
                <w:rFonts w:eastAsia="Calibri"/>
                <w:color w:val="auto"/>
                <w:sz w:val="27"/>
                <w:szCs w:val="27"/>
              </w:rPr>
              <w:t>2022 год – 46574,3 тыс. руб.</w:t>
            </w:r>
          </w:p>
          <w:p>
            <w:pPr>
              <w:pStyle w:val="Default"/>
              <w:widowControl w:val="false"/>
              <w:jc w:val="both"/>
              <w:rPr>
                <w:rFonts w:eastAsia="Calibri"/>
                <w:color w:val="auto"/>
                <w:sz w:val="27"/>
                <w:szCs w:val="27"/>
              </w:rPr>
            </w:pPr>
            <w:r>
              <w:rPr>
                <w:rFonts w:eastAsia="Calibri"/>
                <w:color w:val="auto"/>
                <w:sz w:val="27"/>
                <w:szCs w:val="27"/>
              </w:rPr>
              <w:t>2023 год – 41596,3 тыс. руб.</w:t>
            </w:r>
          </w:p>
          <w:p>
            <w:pPr>
              <w:pStyle w:val="Default"/>
              <w:widowControl w:val="false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auto"/>
                <w:sz w:val="27"/>
                <w:szCs w:val="27"/>
              </w:rPr>
              <w:t>2024 год – 41535,5 тыс. 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2. Показатели муниципальной программы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67"/>
        <w:gridCol w:w="1395"/>
        <w:gridCol w:w="1873"/>
        <w:gridCol w:w="1308"/>
        <w:gridCol w:w="1323"/>
        <w:gridCol w:w="1231"/>
      </w:tblGrid>
      <w:tr>
        <w:trPr>
          <w:tblHeader w:val="true"/>
        </w:trPr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2021 год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</w:t>
            </w:r>
          </w:p>
        </w:tc>
      </w:tr>
      <w:tr>
        <w:trPr>
          <w:tblHeader w:val="true"/>
          <w:trHeight w:val="448" w:hRule="atLeast"/>
        </w:trPr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8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содержания парков и скверов пешеходных дорожек, тротуаров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кв. м.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16771,6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16771,6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16771,6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16771,6</w:t>
            </w:r>
          </w:p>
        </w:tc>
      </w:tr>
      <w:tr>
        <w:trPr/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потребленной электроэнергии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т. квт. ч.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1417,959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1417,959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1417,959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1417,959</w:t>
            </w:r>
          </w:p>
        </w:tc>
      </w:tr>
      <w:tr>
        <w:trPr/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</w:t>
            </w:r>
            <w:r>
              <w:rPr>
                <w:rFonts w:ascii="Times New Roman" w:hAnsi="Times New Roman"/>
                <w:sz w:val="27"/>
                <w:szCs w:val="27"/>
                <w:vertAlign w:val="superscript"/>
                <w:lang w:eastAsia="ru-RU"/>
              </w:rPr>
              <w:t>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</w:tr>
      <w:tr>
        <w:trPr/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Доля обустроенных  мест захоронений на территории Рославльского городского поселения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5"/>
        <w:gridCol w:w="2861"/>
        <w:gridCol w:w="2926"/>
        <w:gridCol w:w="3305"/>
      </w:tblGrid>
      <w:tr>
        <w:trPr>
          <w:trHeight w:val="562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Задачи структурного элемента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Связь с показателями</w:t>
            </w:r>
          </w:p>
        </w:tc>
      </w:tr>
      <w:tr>
        <w:trPr>
          <w:trHeight w:val="170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 Региональный проект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 рамках данной муниципальной программы региональный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 Ведомственный проект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 рамках данной муниципальной программы ведомственный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 Комплекс процессных мероприятий «Благоустройство и озеленение территории»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247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33.</w:t>
            </w: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Улучшен эстетический облик территории Рославльского городского поселения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обеспечен удовлетворительный уровень комфортности проживания на территории муниципального образования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содержания парков и скверов пешеходных дорожек, тротуаров;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2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4. Комплекс процессных мероприятий «Уличное освещение территории»</w:t>
            </w:r>
          </w:p>
        </w:tc>
      </w:tr>
      <w:tr>
        <w:trPr>
          <w:trHeight w:val="44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247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4.1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Обеспечена надежная, бесперебойнаяработа оборудования уличного освещения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Повышены уровень освещенности улиц города иэнергоресурсов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потребленной электроэнергии</w:t>
            </w:r>
          </w:p>
        </w:tc>
      </w:tr>
      <w:tr>
        <w:trPr>
          <w:trHeight w:val="247" w:hRule="atLeast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5.Комплекс процессных мероприятий «Содержание мест захоронений»</w:t>
            </w:r>
          </w:p>
        </w:tc>
      </w:tr>
      <w:tr>
        <w:trPr>
          <w:trHeight w:val="247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247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5.1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Повышен уровень благоустройства кладбищ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Проведены работы по благоустройству мест захоронений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Доля обустроенных  мест захоронений на территории Рославльского  городского поселения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6"/>
        <w:gridCol w:w="1202"/>
        <w:gridCol w:w="1208"/>
        <w:gridCol w:w="1249"/>
        <w:gridCol w:w="1255"/>
      </w:tblGrid>
      <w:tr>
        <w:trPr>
          <w:tblHeader w:val="true"/>
        </w:trPr>
        <w:tc>
          <w:tcPr>
            <w:tcW w:w="5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hanging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3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50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2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54" w:hRule="atLeast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25" w:hanging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В целом по муниципальной программе</w:t>
            </w:r>
            <w:r>
              <w:rPr>
                <w:rFonts w:ascii="Times New Roman" w:hAnsi="Times New Roman"/>
                <w:spacing w:val="-2"/>
                <w:sz w:val="27"/>
                <w:szCs w:val="27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129706,1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46574,3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41596,3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41535,5</w:t>
            </w:r>
          </w:p>
        </w:tc>
      </w:tr>
      <w:tr>
        <w:trPr/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129706,1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46574,3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41596,3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41535,5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Приложение к паспорту муниципальной программы </w:t>
      </w:r>
      <w:r>
        <w:rPr>
          <w:rFonts w:ascii="Times New Roman" w:hAnsi="Times New Roman"/>
          <w:sz w:val="27"/>
          <w:szCs w:val="27"/>
        </w:rPr>
        <w:t xml:space="preserve">«Благоустройство и озеленение  территории Рославльского городского поселения Рославльского района Смоленской области»  </w:t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/>
          <w:b/>
          <w:b/>
          <w:sz w:val="27"/>
          <w:szCs w:val="27"/>
        </w:rPr>
      </w:pPr>
      <w:r>
        <w:rPr>
          <w:rFonts w:eastAsia="Calibri" w:ascii="Times New Roman" w:hAnsi="Times New Roman"/>
          <w:b/>
          <w:sz w:val="27"/>
          <w:szCs w:val="27"/>
        </w:rPr>
        <w:t>СВЕДЕНИЯ</w:t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/>
          <w:b/>
          <w:b/>
          <w:sz w:val="27"/>
          <w:szCs w:val="27"/>
        </w:rPr>
      </w:pPr>
      <w:r>
        <w:rPr>
          <w:rFonts w:eastAsia="Calibri" w:ascii="Times New Roman" w:hAnsi="Times New Roman"/>
          <w:b/>
          <w:sz w:val="27"/>
          <w:szCs w:val="27"/>
        </w:rPr>
        <w:t xml:space="preserve"> </w:t>
      </w:r>
      <w:r>
        <w:rPr>
          <w:rFonts w:eastAsia="Calibri" w:ascii="Times New Roman" w:hAnsi="Times New Roman"/>
          <w:b/>
          <w:sz w:val="27"/>
          <w:szCs w:val="27"/>
        </w:rPr>
        <w:t>о показателях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27"/>
          <w:szCs w:val="27"/>
        </w:rPr>
      </w:pPr>
      <w:r>
        <w:rPr>
          <w:rFonts w:eastAsia="Calibri" w:ascii="Times New Roman" w:hAnsi="Times New Roman"/>
          <w:sz w:val="27"/>
          <w:szCs w:val="27"/>
        </w:rPr>
      </w:r>
    </w:p>
    <w:tbl>
      <w:tblPr>
        <w:tblW w:w="45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4"/>
        <w:gridCol w:w="2704"/>
        <w:gridCol w:w="6088"/>
      </w:tblGrid>
      <w:tr>
        <w:trPr>
          <w:trHeight w:val="419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№</w:t>
            </w:r>
            <w:r>
              <w:rPr>
                <w:rFonts w:eastAsia="Calibri"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 xml:space="preserve">Наименование  </w:t>
              <w:br/>
              <w:t>показателя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</w:t>
            </w:r>
          </w:p>
        </w:tc>
      </w:tr>
      <w:tr>
        <w:trPr>
          <w:trHeight w:val="1354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содержания парков и скверов пешеходных дорожек, тротуаров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BFBFB"/>
              <w:spacing w:lineRule="atLeast" w:line="330" w:before="0" w:after="0"/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  <w:t>S = a *</w:t>
            </w:r>
            <w:r>
              <w:rPr>
                <w:rFonts w:ascii="Times New Roman" w:hAnsi="Times New Roman"/>
                <w:color w:val="333333"/>
                <w:sz w:val="27"/>
                <w:szCs w:val="27"/>
                <w:lang w:val="en-US" w:eastAsia="ru-RU"/>
              </w:rPr>
              <w:t>b</w:t>
            </w:r>
          </w:p>
          <w:p>
            <w:pPr>
              <w:pStyle w:val="Normal"/>
              <w:widowControl w:val="false"/>
              <w:shd w:val="clear" w:color="auto" w:fill="FBFBFB"/>
              <w:spacing w:lineRule="atLeast" w:line="330" w:before="0" w:after="0"/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  <w:t>S - площадь</w:t>
            </w:r>
          </w:p>
          <w:p>
            <w:pPr>
              <w:pStyle w:val="Normal"/>
              <w:widowControl w:val="false"/>
              <w:shd w:val="clear" w:color="auto" w:fill="FBFBFB"/>
              <w:spacing w:lineRule="atLeast" w:line="330" w:before="0" w:after="0"/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  <w:t>a - длина (сторона a)</w:t>
            </w:r>
          </w:p>
          <w:p>
            <w:pPr>
              <w:pStyle w:val="Normal"/>
              <w:widowControl w:val="false"/>
              <w:shd w:val="clear" w:color="auto" w:fill="FBFBFB"/>
              <w:spacing w:lineRule="atLeast" w:line="330" w:before="0" w:after="0"/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7"/>
                <w:szCs w:val="27"/>
                <w:lang w:eastAsia="ru-RU"/>
              </w:rPr>
              <w:t>b - ширина (сторона b)</w:t>
            </w:r>
          </w:p>
        </w:tc>
      </w:tr>
      <w:tr>
        <w:trPr>
          <w:trHeight w:val="279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потребленной электроэнергии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val="en-US"/>
              </w:rPr>
              <w:t>Q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=</w:t>
            </w:r>
            <w:r>
              <w:rPr>
                <w:rFonts w:eastAsia="Calibri" w:ascii="Times New Roman" w:hAnsi="Times New Roman"/>
                <w:sz w:val="27"/>
                <w:szCs w:val="27"/>
                <w:lang w:val="en-US"/>
              </w:rPr>
              <w:t>P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*</w:t>
            </w:r>
            <w:r>
              <w:rPr>
                <w:rFonts w:eastAsia="Calibri" w:ascii="Times New Roman" w:hAnsi="Times New Roman"/>
                <w:sz w:val="27"/>
                <w:szCs w:val="27"/>
                <w:lang w:val="en-US"/>
              </w:rPr>
              <w:t>n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*3760*0.9%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Q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- т. квт. 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P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-  мощность одного светильника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n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- количество светильников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3760 – время горения уличного освещения за год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0,9% - процент работающих светильников</w:t>
            </w:r>
          </w:p>
        </w:tc>
      </w:tr>
      <w:tr>
        <w:trPr>
          <w:trHeight w:val="279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Планируемое значение показателя</w:t>
            </w:r>
          </w:p>
        </w:tc>
      </w:tr>
      <w:tr>
        <w:trPr>
          <w:trHeight w:val="279" w:hRule="atLeast"/>
          <w:cantSplit w:val="true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Доля обустроенных  мест захоронений на территории Рославльского  городского поселения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статистическая форма отчета№12- ПУ «Сведения по похоронному обслуживанию»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  <w:t>Раздел 2. ПАСПОРТА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комплексов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«</w:t>
      </w:r>
      <w:r>
        <w:rPr>
          <w:rFonts w:ascii="Times New Roman" w:hAnsi="Times New Roman"/>
          <w:b/>
          <w:sz w:val="27"/>
          <w:szCs w:val="27"/>
          <w:lang w:eastAsia="ru-RU"/>
        </w:rPr>
        <w:t>Благоустройство и озеленение»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программа «Благоустройство и озеленение  территории Рославльского городского поселения Рославльского района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95"/>
        <w:gridCol w:w="1390"/>
        <w:gridCol w:w="1723"/>
        <w:gridCol w:w="1610"/>
        <w:gridCol w:w="1477"/>
        <w:gridCol w:w="1406"/>
      </w:tblGrid>
      <w:tr>
        <w:trPr>
          <w:tblHeader w:val="true"/>
        </w:trPr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 реализации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реализации 2021 год</w:t>
            </w:r>
          </w:p>
        </w:tc>
        <w:tc>
          <w:tcPr>
            <w:tcW w:w="4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Объем спиленных аварийных деревьев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632,74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632,74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632,74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632,74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Выполнение работ по содержанию зеленых насаждений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1250,96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1250,96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1250,96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1250,96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скашивания травы  наландшафтно – рекреационной территории Рославльского городского поселения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118158,75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123038,75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123038,75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123038,75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приобретённого хозяйственного инвентаря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проведения субботников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1440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952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952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952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приобретённых материалов для информационно-профилактических мероприятий (приобретение информационных материалов, муляжей видеокамер, изготовление табличек, стендов и т. п.)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отремонтированных контейнерных площадок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приобретенных контейнеров, бункеров для мусора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8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Объем подачи газа к вечному огню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тыс. 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24,0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24,0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24,0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пляжной зоны находящейся на содержании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3000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отремонтированных детских игровых площадок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Количество площадей, расчищенных от мусора после сноса аварийного жилья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0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Площадь  благоустройства надписи «Рославлю 88_» по ул. К. Маркса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  <w:vertAlign w:val="superscript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</w:t>
            </w:r>
            <w:r>
              <w:rPr>
                <w:rFonts w:eastAsia="Calibri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40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Количеств территорий, на которых проведены дополнительные работы по благоустройству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</w:tr>
      <w:tr>
        <w:trPr/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Доля финансового обеспечения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деятельности муниципальных учреждений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«Уличное освещение территории»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программа «Благоустройство и озеленение  территории Рославльского городского поселения Рославльского района Смоленской области»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3"/>
        <w:gridCol w:w="1389"/>
        <w:gridCol w:w="1724"/>
        <w:gridCol w:w="1610"/>
        <w:gridCol w:w="1602"/>
        <w:gridCol w:w="1543"/>
      </w:tblGrid>
      <w:tr>
        <w:trPr>
          <w:tblHeader w:val="true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 реализации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реализации 2021 год</w:t>
            </w:r>
          </w:p>
        </w:tc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895" w:hRule="atLeast"/>
        </w:trPr>
        <w:tc>
          <w:tcPr>
            <w:tcW w:w="2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обслуживаемых конструктивных элементов сетей уличного освещения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3907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3959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3959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3959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расходных материалов для уличного освещения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1700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1700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1700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1700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«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sim</w:t>
            </w:r>
            <w:r>
              <w:rPr>
                <w:rFonts w:ascii="Times New Roman" w:hAnsi="Times New Roman"/>
                <w:sz w:val="27"/>
                <w:szCs w:val="27"/>
              </w:rPr>
              <w:t>-карт»  в системе АСУНО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53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53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Восстановление уличного освещения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25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25</w:t>
            </w:r>
          </w:p>
        </w:tc>
      </w:tr>
      <w:tr>
        <w:trPr/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технических присоединений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«Содержание мест захоронений»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Ответственное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структурное подразделение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программа «Благоустройство и озеленение  территории Рославльского городского поселения Рославльского района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26"/>
        <w:gridCol w:w="1416"/>
        <w:gridCol w:w="1664"/>
        <w:gridCol w:w="1416"/>
        <w:gridCol w:w="1479"/>
        <w:gridCol w:w="1600"/>
      </w:tblGrid>
      <w:tr>
        <w:trPr>
          <w:tblHeader w:val="true"/>
        </w:trPr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 реализации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реализации 2021 год</w:t>
            </w:r>
          </w:p>
        </w:tc>
        <w:tc>
          <w:tcPr>
            <w:tcW w:w="4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</w:tr>
      <w:tr>
        <w:trPr>
          <w:tblHeader w:val="true"/>
          <w:trHeight w:val="282" w:hRule="atLeast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Количество мест захоронений, находящихся на содержании, на территории Рославльского  городского поселения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4</w:t>
            </w:r>
          </w:p>
        </w:tc>
      </w:tr>
    </w:tbl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Раздел 3. ОЦЕНКА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«Благоустройство и озеленение территории Рославльского городского поселения Рославльского района Смоленской области»</w:t>
      </w:r>
    </w:p>
    <w:p>
      <w:pPr>
        <w:pStyle w:val="Normal"/>
        <w:spacing w:lineRule="auto" w:line="240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«Благоустройство и озеленение территории Рославльского городского поселения Рославльского района Смоленской области» не предусмотрено.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521" w:hanging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sectPr>
          <w:headerReference w:type="default" r:id="rId2"/>
          <w:type w:val="nextPage"/>
          <w:pgSz w:w="11906" w:h="16838"/>
          <w:pgMar w:left="1134" w:right="567" w:gutter="0" w:header="227" w:top="1134" w:footer="0" w:bottom="1134"/>
          <w:pgNumType w:start="3"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Раздел 4.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о финансировании структурных элементов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</w:rPr>
        <w:t>«Благоустройство и озеленение  территории Рославльского городского поселения Рославльского района Смоленской области»</w:t>
      </w:r>
    </w:p>
    <w:tbl>
      <w:tblPr>
        <w:tblW w:w="14889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5105"/>
        <w:gridCol w:w="1842"/>
        <w:gridCol w:w="2410"/>
        <w:gridCol w:w="1135"/>
        <w:gridCol w:w="1276"/>
        <w:gridCol w:w="1275"/>
        <w:gridCol w:w="1274"/>
      </w:tblGrid>
      <w:tr>
        <w:trPr>
          <w:trHeight w:val="1038" w:hRule="atLeast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496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Объем средств на реализацию муниципальной 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510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13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2022 год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2023 год</w:t>
            </w:r>
          </w:p>
        </w:tc>
        <w:tc>
          <w:tcPr>
            <w:tcW w:w="127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ru-RU"/>
              </w:rPr>
              <w:t>2024 год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5104"/>
        <w:gridCol w:w="1844"/>
        <w:gridCol w:w="2410"/>
        <w:gridCol w:w="1134"/>
        <w:gridCol w:w="141"/>
        <w:gridCol w:w="1134"/>
        <w:gridCol w:w="1276"/>
        <w:gridCol w:w="1274"/>
      </w:tblGrid>
      <w:tr>
        <w:trPr>
          <w:tblHeader w:val="true"/>
          <w:trHeight w:val="8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9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4317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Комплекс процессных мероприятий «Благоустройство и озеленение территории»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Спил аварийных деревьев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3996,2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1300,0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1348,1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1348,1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1.2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Содержание пешеходных дорожек, тротуаров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2698,2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877,8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910,2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910,2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1.3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Посадка и уход за рассадой цветов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6647,8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2162,6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2242,6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2242,6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1.4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Скашивание травы на ландшафтно-рекреационной территории Рославльского городского поселения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2585,8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841,2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872,3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872,3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1.5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Ликвидация несанкционированных мусорных свалок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1410,0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470,0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470,0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470,0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1.6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Ремонт и устройство контейнерных площадок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1258,0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400,0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458,0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400,0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1.7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Приобретение контейнеров, бункеров для мусора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1500,0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1.8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Приобретение хозяйственного инвентаря для проведения субботника (вилы, грабли, мешки, веники, перчатки и другой инвентарь)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Calibri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150,0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1.9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Информационно-профилактические мероприятия (приобретение информационных материалов, муляжей видеокамер, изготовление табличек, стендов и т. п.)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Подача газа к вечному огню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525,0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175,0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175,0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175,0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1.11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Обустройство пляжной зоны отдыха в период купального сезона (содержание лестницы, малых форм, установка скамеек и урн, бак.анализ воды, планировка песка, покос травы, уборка мусора)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150,0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60,0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1.12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  <w:t>Текущее содержание и ремонт детских игровых площадок, расположенных на территории Рославльского городского поселения (включая обустройство детской площадки на17 микрорайоне дом 12)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3077,2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2720,0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177,2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1.13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Снос аварийного жилья после переселения, вывоз мусора на полигон и планировка площадок под новое строительство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1000,0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1000,0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1.14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Ремонт надписи « Рославлю 88_» по ул. К. Маркса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86,0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18,0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1.15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Сопровождение выполнения работ по благоустройству</w:t>
            </w:r>
            <w:bookmarkStart w:id="0" w:name="_GoBack"/>
            <w:bookmarkEnd w:id="0"/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МБУ «Благоустройство»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1395,3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1395,3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1.16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МБУ «Благоустройство»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4471,8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1490,6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1490,6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1490,6</w:t>
            </w:r>
          </w:p>
        </w:tc>
      </w:tr>
      <w:tr>
        <w:trPr>
          <w:trHeight w:val="418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1.17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Проведение дополнительного комплекса мероприятий, направленных на создание условий для повышения комфортности   проживания граждан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2170,3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570,3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800,0</w:t>
            </w:r>
          </w:p>
        </w:tc>
      </w:tr>
      <w:tr>
        <w:trPr>
          <w:trHeight w:val="410" w:hRule="atLeast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7"/>
                <w:szCs w:val="27"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33331,6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14182,8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9604,8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9544,0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Комплекс процессных мероприятий «Уличное освещение территории»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Ремонт и техническое обслуживание уличных сетей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5737,8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1912,6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1912,6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1912,6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Оплата за потребленную электроэнергию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52990,8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17663,6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17663,6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17663,6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Оплата за энергосервисный контракт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22179,0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7393,0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7393,0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7393,0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Приобретение материалов для уличного освещения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3213,6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1071,2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1071,2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1071,2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Оказание услуг связи в системе АСУНО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199,2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66,4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66,4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Восстановление уличного освещения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1904,1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634,7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634,7</w:t>
            </w:r>
          </w:p>
        </w:tc>
      </w:tr>
      <w:tr>
        <w:trPr>
          <w:trHeight w:val="533" w:hRule="atLeast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86224,5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28741,5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28741,5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28741,5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43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Комплекс процессных мероприятий «Содержание мест захоронений»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Содержание мест захоронения на территории Рославльского городского поселения Рославльского района Смоленской области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8950,0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3250,0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2850,0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2850,0</w:t>
            </w:r>
          </w:p>
        </w:tc>
      </w:tr>
      <w:tr>
        <w:trPr>
          <w:trHeight w:val="5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Благоустройство территорий городских кладбищ в г. Рославль Смоленской области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Calibri" w:ascii="Times New Roman" w:hAnsi="Times New Roman"/>
                <w:lang w:eastAsia="ru-RU"/>
              </w:rPr>
              <w:t>Комитет ЖКХ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400,0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400,0</w:t>
            </w:r>
          </w:p>
        </w:tc>
      </w:tr>
      <w:tr>
        <w:trPr>
          <w:trHeight w:val="533" w:hRule="atLeast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10150,0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3650,0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3250,0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3250,0</w:t>
            </w:r>
          </w:p>
        </w:tc>
      </w:tr>
      <w:tr>
        <w:trPr>
          <w:trHeight w:val="828" w:hRule="atLeast"/>
        </w:trPr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129706,1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129706,1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46574,3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46574,3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41596,3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41596,3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41535,5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41535,5</w:t>
            </w:r>
          </w:p>
        </w:tc>
      </w:tr>
    </w:tbl>
    <w:p>
      <w:pPr>
        <w:pStyle w:val="Normal"/>
        <w:tabs>
          <w:tab w:val="clear" w:pos="708"/>
          <w:tab w:val="left" w:pos="1218" w:leader="none"/>
        </w:tabs>
        <w:spacing w:lineRule="auto" w:line="24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sz w:val="27"/>
          <w:szCs w:val="27"/>
        </w:rPr>
      </w:pPr>
      <w:r>
        <w:rPr/>
      </w:r>
    </w:p>
    <w:sectPr>
      <w:headerReference w:type="default" r:id="rId3"/>
      <w:type w:val="nextPage"/>
      <w:pgSz w:orient="landscape" w:w="16838" w:h="11906"/>
      <w:pgMar w:left="1134" w:right="567" w:gutter="0" w:header="227" w:top="1134" w:footer="0" w:bottom="1134"/>
      <w:pgNumType w:start="15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62752430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14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67273658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257a9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"/>
    <w:qFormat/>
    <w:rsid w:val="004257a9"/>
    <w:rPr>
      <w:i/>
      <w:iCs/>
    </w:rPr>
  </w:style>
  <w:style w:type="character" w:styleId="Style15" w:customStyle="1">
    <w:name w:val="Основной текст с отступом Знак"/>
    <w:basedOn w:val="DefaultParagraphFont"/>
    <w:link w:val="a4"/>
    <w:qFormat/>
    <w:rsid w:val="004257a9"/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1c3932"/>
    <w:rPr>
      <w:rFonts w:ascii="Tahoma" w:hAnsi="Tahoma" w:eastAsia="Times New Roman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rsid w:val="00582dec"/>
    <w:rPr>
      <w:rFonts w:ascii="Calibri" w:hAnsi="Calibri" w:eastAsia="Times New Roman" w:cs="Times New Roman"/>
    </w:rPr>
  </w:style>
  <w:style w:type="character" w:styleId="Style18" w:customStyle="1">
    <w:name w:val="Нижний колонтитул Знак"/>
    <w:basedOn w:val="DefaultParagraphFont"/>
    <w:link w:val="ad"/>
    <w:uiPriority w:val="99"/>
    <w:qFormat/>
    <w:rsid w:val="00582dec"/>
    <w:rPr>
      <w:rFonts w:ascii="Calibri" w:hAnsi="Calibri" w:eastAsia="Times New Roman" w:cs="Times New Roman"/>
    </w:rPr>
  </w:style>
  <w:style w:type="character" w:styleId="Style19" w:customStyle="1">
    <w:name w:val="Без интервала Знак"/>
    <w:link w:val="a6"/>
    <w:uiPriority w:val="1"/>
    <w:qFormat/>
    <w:rsid w:val="00755ae3"/>
    <w:rPr>
      <w:rFonts w:ascii="Calibri" w:hAnsi="Calibri" w:eastAsia="Times New Roman" w:cs="Times New Roma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4257a9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eastAsia="ru-RU" w:val="ru-RU" w:bidi="ar-SA"/>
    </w:rPr>
  </w:style>
  <w:style w:type="paragraph" w:styleId="Default" w:customStyle="1">
    <w:name w:val="Default"/>
    <w:qFormat/>
    <w:rsid w:val="004257a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Style25">
    <w:name w:val="Body Text Indent"/>
    <w:basedOn w:val="Normal"/>
    <w:link w:val="a5"/>
    <w:rsid w:val="004257a9"/>
    <w:pPr>
      <w:spacing w:lineRule="auto" w:line="240" w:before="0" w:after="0"/>
      <w:ind w:left="709" w:firstLine="709"/>
      <w:jc w:val="both"/>
    </w:pPr>
    <w:rPr>
      <w:rFonts w:ascii="Times New Roman" w:hAnsi="Times New Roman"/>
      <w:sz w:val="28"/>
      <w:szCs w:val="20"/>
      <w:lang w:val="x-none" w:eastAsia="x-none"/>
    </w:rPr>
  </w:style>
  <w:style w:type="paragraph" w:styleId="NoSpacing">
    <w:name w:val="No Spacing"/>
    <w:link w:val="a7"/>
    <w:uiPriority w:val="1"/>
    <w:qFormat/>
    <w:rsid w:val="004257a9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qFormat/>
    <w:rsid w:val="004257a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1c39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ac"/>
    <w:uiPriority w:val="99"/>
    <w:unhideWhenUsed/>
    <w:rsid w:val="00582d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e"/>
    <w:uiPriority w:val="99"/>
    <w:unhideWhenUsed/>
    <w:rsid w:val="00582d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nformat" w:customStyle="1">
    <w:name w:val="ConsPlusNonformat"/>
    <w:qFormat/>
    <w:rsid w:val="00f9236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0c0ef4"/>
    <w:pPr>
      <w:spacing w:before="0" w:after="200"/>
      <w:ind w:left="720" w:hanging="0"/>
      <w:contextualSpacing/>
    </w:pPr>
    <w:rPr/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6A13-0E9C-4EB2-B7B0-7DECC113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LibreOffice/7.2.4.1$Windows_X86_64 LibreOffice_project/27d75539669ac387bb498e35313b970b7fe9c4f9</Application>
  <AppVersion>15.0000</AppVersion>
  <Pages>16</Pages>
  <Words>2362</Words>
  <Characters>17103</Characters>
  <CharactersWithSpaces>18918</CharactersWithSpaces>
  <Paragraphs>618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2022-03-29T07:53:00Z</dcterms:created>
  <dc:creator>1</dc:creator>
  <dc:description/>
  <dc:language>ru-RU</dc:language>
  <cp:lastModifiedBy/>
  <cp:lastPrinted>2022-04-01T14:00:32Z</cp:lastPrinted>
  <dcterms:modified xsi:type="dcterms:W3CDTF">2022-04-01T14:01:46Z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