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от 13.04.2023 № 492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жилищного контроля в Рославльском городском поселении Рославльского района Смоленской области на 2023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Программа профилактики рисков причинения вреда (ущерба) охраняемым законом ценностям по осуществления муниципального жилищного контроля в Рославльском городском поселении Рославльского района Смоленской области на 2023 год 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жилищного контроля в Рославльском городском поселении Рославльского района Смоленской области 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Жилищным кодексом Российской Федерации;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4) Постановлением Правительства Российской Федерации от 25.06.2021    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5) Положением о муниципальном жилищном контроле в Рославльском городском поселении Рославльского района Смоленской области, утвержденным решением Совета депутатов Рославльского городского поселения Рославльского района Смоленской области от 11.11.2021 № 10.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В зависимости от объекта, в отношении которого осуществляется муниципальный контроль, выделяются следующие контролируемые лица: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1) юридические лица, осуществляющие деятельность по управлению многоквартирными жилыми домами;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юридические лица, осуществляющие деятельность по обслуживанию многоквартирных жилых домов;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граждане – наниматели жилых помещений.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В истекшем периоде 2022 года в рамках муниципального контроля </w:t>
      </w:r>
      <w:r>
        <w:rPr>
          <w:rFonts w:eastAsia="Calibri" w:eastAsiaTheme="minorHAnsi"/>
          <w:bCs/>
          <w:sz w:val="28"/>
          <w:szCs w:val="28"/>
          <w:lang w:eastAsia="en-US"/>
        </w:rPr>
        <w:t>в Рославльском городском поселении Рославльского района Смоленской области плановые и внеплановые проверки не проводились.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Эксперты и представители экспертных организаций к проведению проверок не привлекались.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Практика выдачи предостережений о недопустимости нарушений обязательных требований при осуществлении муниципального контроля контролируемым лицам не применялась.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6. В целях профилактики нарушений обязательных требований, соблюдение которых проверяется в ходе осуществления муниципального контроля, в истекшем периоде 2022 года </w:t>
      </w:r>
      <w:r>
        <w:rPr>
          <w:rFonts w:eastAsia="Calibri" w:eastAsiaTheme="minorHAnsi"/>
          <w:sz w:val="28"/>
          <w:szCs w:val="28"/>
          <w:lang w:eastAsia="en-US"/>
        </w:rPr>
        <w:t xml:space="preserve">Комитетом ЖКХ </w:t>
      </w:r>
      <w:r>
        <w:rPr>
          <w:rFonts w:eastAsia="Calibri" w:eastAsiaTheme="minorHAnsi"/>
          <w:bCs/>
          <w:sz w:val="28"/>
          <w:szCs w:val="28"/>
          <w:lang w:eastAsia="en-US"/>
        </w:rPr>
        <w:t>осуществлено информирование контролируемых лиц о необходимости соблюдения обязательных требований.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В процессе осуществления муниципального контроля ведется информативно-разъяснительная работа с контролируемыми лицами (оказывается консультативная помощь, даются разъяснения по вопросам соблюдения обязательных требований).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К основным проблемам в муниципальном контроле, на решение которых направлена Программа профилактики, относятся: соблюдение гражданами порядка проведения переустройства или перепланировки жилого помещения в многоквартирном жилом доме, соблюдение юридическими лицами сроков по устранению аварийных ситуаций и проведения текущих ремонтов общего имущества в многоквартирном жилом доме, создание безопасных и комфортных условий для проживания граждан.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Целями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предупреждение нарушений обязательных требований в сфере муниципального контроля;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предотвращение угрозы причинения, либо причинения вреда жизни, здоровью граждан вследствие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 жизни, здоровью граждан;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9. Задачами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d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 сведений, предусмотренных </w:t>
            </w:r>
            <w:hyperlink r:id="rId2">
              <w:r>
                <w:rPr>
                  <w:rFonts w:eastAsia="Calibri" w:eastAsiaTheme="minorHAnsi"/>
                  <w:bCs/>
                  <w:color w:val="auto"/>
                  <w:kern w:val="0"/>
                  <w:sz w:val="22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00" w:leader="none"/>
              </w:tabs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3">
              <w:r>
                <w:rPr>
                  <w:rFonts w:eastAsia="Calibri" w:eastAsiaTheme="minorHAnsi"/>
                  <w:bCs/>
                  <w:color w:val="auto"/>
                  <w:kern w:val="0"/>
                  <w:sz w:val="22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 xml:space="preserve">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5.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Профилактический визит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При поступлении заявки от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в соответствии со </w:t>
            </w:r>
            <w:hyperlink r:id="rId4">
              <w:r>
                <w:rPr>
                  <w:rFonts w:eastAsia="Calibri" w:eastAsiaTheme="minorHAnsi"/>
                  <w:bCs/>
                  <w:color w:val="auto"/>
                  <w:kern w:val="0"/>
                  <w:sz w:val="22"/>
                  <w:u w:val="none"/>
                  <w:lang w:val="ru-RU" w:eastAsia="en-US" w:bidi="ar-SA"/>
                </w:rPr>
                <w:t>статьей 52</w:t>
              </w:r>
            </w:hyperlink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2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10.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«Интернет», в средствах массовой информации;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проведенных профилактических визитов;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от 13.04.2023 № 492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контроля в сфере благоустройства на территории Рославльского городского поселения Рославльского района Смоленской области на 2023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Программа профилактики рисков причинения вреда (ущерба) охраняемым законом ценностям по осуществлению муниципального контроля в сфере благоустройства на территории Рославльского городского поселения Рославльского района Смоленской области на 2023 год 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контроля в сфере благоустройства на территории Рославльского городского поселения Рославльского района Смоленской области 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4) Положением о муниципальном контроле в сфере благоустройства на территории Рославльского городского поселения Рославльского района Смоленской области, утвержденным решением Совета депутатов Рославльского городского поселения Рославльского района Смоленской области от 11.11.2021 № 11.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shd w:val="clear" w:color="auto" w:fill="FFFFFF"/>
        <w:ind w:firstLine="709"/>
        <w:jc w:val="both"/>
        <w:rPr>
          <w:color w:val="000000"/>
          <w:sz w:val="28"/>
          <w:szCs w:val="28"/>
          <w:shd w:fill="FFFFFF" w:val="clear"/>
        </w:rPr>
      </w:pPr>
      <w:r>
        <w:rPr>
          <w:color w:val="000000"/>
          <w:sz w:val="28"/>
          <w:szCs w:val="28"/>
        </w:rPr>
        <w:t>4. Муниципальный контроль осуществляется посредством профилактики нарушений обязательных требований, организации и проведения контрольных мероприятий и принятия,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  <w:r>
        <w:rPr>
          <w:color w:val="000000"/>
          <w:sz w:val="28"/>
          <w:szCs w:val="28"/>
          <w:shd w:fill="FFFFFF" w:val="clear"/>
        </w:rPr>
        <w:t xml:space="preserve"> 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fill="FFFFFF" w:val="clear"/>
        </w:rPr>
        <w:t>5. К</w:t>
      </w:r>
      <w:r>
        <w:rPr>
          <w:color w:val="000000"/>
          <w:sz w:val="28"/>
          <w:szCs w:val="28"/>
        </w:rPr>
        <w:t xml:space="preserve"> проблемам, на решение которых направлена Программа профилактики, относятся случаи:</w:t>
      </w:r>
    </w:p>
    <w:p>
      <w:pPr>
        <w:pStyle w:val="Normal"/>
        <w:suppressAutoHyphens w:val="true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1) ненадлежащего содержания прилегающих территорий;</w:t>
      </w:r>
    </w:p>
    <w:p>
      <w:pPr>
        <w:pStyle w:val="Normal"/>
        <w:suppressAutoHyphens w:val="true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2) </w:t>
      </w:r>
      <w:r>
        <w:rPr>
          <w:color w:val="000000"/>
          <w:sz w:val="28"/>
          <w:szCs w:val="28"/>
        </w:rPr>
        <w:t xml:space="preserve">несвоевременной </w:t>
      </w:r>
      <w:r>
        <w:rPr>
          <w:color w:val="000000"/>
          <w:sz w:val="28"/>
          <w:szCs w:val="28"/>
          <w:lang w:eastAsia="zh-CN"/>
        </w:rPr>
        <w:t xml:space="preserve">очистки кровель зданий, сооружений от снега, наледи и сосулек; </w:t>
      </w:r>
    </w:p>
    <w:p>
      <w:pPr>
        <w:pStyle w:val="Normal"/>
        <w:tabs>
          <w:tab w:val="clear" w:pos="708"/>
          <w:tab w:val="left" w:pos="1200" w:leader="none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3) складирования твердых коммунальных отходов вне выделенных для такого складирования мест;</w:t>
      </w:r>
    </w:p>
    <w:p>
      <w:pPr>
        <w:pStyle w:val="Normal"/>
        <w:tabs>
          <w:tab w:val="clear" w:pos="708"/>
          <w:tab w:val="left" w:pos="1200" w:leader="none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4) </w:t>
      </w:r>
      <w:r>
        <w:rPr>
          <w:rFonts w:eastAsia="Calibri"/>
          <w:bCs/>
          <w:color w:val="000000"/>
          <w:sz w:val="28"/>
          <w:szCs w:val="28"/>
        </w:rPr>
        <w:t>выгула животных</w:t>
      </w:r>
      <w:r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территориях общего пользования.</w:t>
      </w:r>
    </w:p>
    <w:p>
      <w:pPr>
        <w:pStyle w:val="Normal"/>
        <w:suppressAutoHyphens w:val="true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сохранности окружающей среды.</w:t>
      </w:r>
    </w:p>
    <w:p>
      <w:pPr>
        <w:pStyle w:val="Normal"/>
        <w:suppressAutoHyphens w:val="true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>
      <w:pPr>
        <w:pStyle w:val="Normal"/>
        <w:suppressAutoHyphens w:val="true"/>
        <w:ind w:firstLine="709"/>
        <w:jc w:val="both"/>
        <w:rPr>
          <w:bCs/>
          <w:iCs/>
          <w:sz w:val="28"/>
          <w:szCs w:val="28"/>
          <w:lang w:eastAsia="zh-CN"/>
        </w:rPr>
      </w:pPr>
      <w:r>
        <w:rPr>
          <w:bCs/>
          <w:iCs/>
          <w:sz w:val="28"/>
          <w:szCs w:val="28"/>
          <w:lang w:eastAsia="zh-CN"/>
        </w:rPr>
        <w:t>Мероприятия Программы профилактики</w:t>
      </w:r>
      <w:r>
        <w:rPr>
          <w:iCs/>
          <w:color w:val="000000"/>
          <w:sz w:val="28"/>
          <w:szCs w:val="28"/>
          <w:lang w:eastAsia="zh-CN"/>
        </w:rPr>
        <w:t xml:space="preserve"> будут способствовать </w:t>
      </w:r>
      <w:r>
        <w:rPr>
          <w:bCs/>
          <w:iCs/>
          <w:sz w:val="28"/>
          <w:szCs w:val="28"/>
          <w:lang w:eastAsia="zh-CN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6. Целями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предупреждение и профилактика нарушений обязательных требований Правил благоустройства юридическими лицами, индивидуальными предпринимателями и гражданами;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повышение уровня благоустройства, соблюдения чистоты и порядка;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предотвращение угрозы причинения, либо причинения вреда жизни, здоровью граждан вследствие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увеличение доли контролируемых лиц, соблюдающих требования в сфере благоустройства;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Задачами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d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 сведений,предусмотренных </w:t>
            </w:r>
            <w:hyperlink r:id="rId5">
              <w:r>
                <w:rPr>
                  <w:rFonts w:eastAsia="Calibri" w:eastAsiaTheme="minorHAnsi"/>
                  <w:bCs/>
                  <w:color w:val="auto"/>
                  <w:kern w:val="0"/>
                  <w:sz w:val="24"/>
                  <w:szCs w:val="24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00" w:leader="none"/>
              </w:tabs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6">
              <w:r>
                <w:rPr>
                  <w:rFonts w:eastAsia="Calibri" w:eastAsiaTheme="minorHAnsi"/>
                  <w:bCs/>
                  <w:color w:val="auto"/>
                  <w:kern w:val="0"/>
                  <w:sz w:val="24"/>
                  <w:szCs w:val="24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5.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Профилактический визит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При поступлении заявки от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в соответствии со </w:t>
            </w:r>
            <w:hyperlink r:id="rId7">
              <w:r>
                <w:rPr>
                  <w:rFonts w:eastAsia="Calibri" w:eastAsiaTheme="minorHAnsi"/>
                  <w:bCs/>
                  <w:color w:val="auto"/>
                  <w:kern w:val="0"/>
                  <w:sz w:val="24"/>
                  <w:szCs w:val="24"/>
                  <w:u w:val="none"/>
                  <w:lang w:val="ru-RU" w:eastAsia="en-US" w:bidi="ar-SA"/>
                </w:rPr>
                <w:t>статьей 52</w:t>
              </w:r>
            </w:hyperlink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«Интернет», в средствах массовой информации;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проведенных профилактических визитов;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cs="TimesNewRoman" w:ascii="TimesNewRoman" w:hAnsi="TimesNewRoman" w:eastAsiaTheme="minorHAnsi"/>
          <w:sz w:val="28"/>
          <w:szCs w:val="28"/>
          <w:lang w:eastAsia="en-US"/>
        </w:rPr>
        <w:t>от 13.04.2023 № 492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контроля на автомобильном транспорте и в дорожном хозяйстве в границах населенных пунктов Рославльского городского поселения Рославльского района Смоленской области на 2023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bCs/>
          <w:sz w:val="28"/>
          <w:szCs w:val="28"/>
        </w:rPr>
        <w:t>1. Программа профилактики рисков причинения вреда (ущерба) охраняемым законом ценностям по осуществлению муниципального контроля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автомобильном транспорте и в дорожном хозяйстве в границах населенных пунктов Рославльского городского поселения Рославльского района Смоленской области на 2023 год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контроля</w:t>
      </w:r>
      <w:r>
        <w:rPr>
          <w:b/>
          <w:bCs/>
          <w:sz w:val="28"/>
          <w:szCs w:val="28"/>
        </w:rPr>
        <w:t xml:space="preserve"> </w:t>
      </w:r>
      <w:r>
        <w:rPr>
          <w:rFonts w:eastAsia="Calibri" w:eastAsiaTheme="minorHAnsi"/>
          <w:bCs/>
          <w:sz w:val="28"/>
          <w:szCs w:val="28"/>
          <w:lang w:eastAsia="en-US"/>
        </w:rPr>
        <w:t xml:space="preserve">на автомобильном транспорте и в дорожном хозяйстве в границах населенных пунктов Рославльского городского поселения Рославльского района Смоленской области </w:t>
      </w:r>
      <w:r>
        <w:rPr>
          <w:rFonts w:eastAsia="Calibri" w:eastAsiaTheme="minorHAnsi"/>
          <w:sz w:val="28"/>
          <w:szCs w:val="28"/>
          <w:lang w:eastAsia="en-US"/>
        </w:rPr>
        <w:t>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4) Положением о муниципальном контроле </w:t>
      </w:r>
      <w:r>
        <w:rPr>
          <w:rFonts w:eastAsia="Calibri" w:eastAsiaTheme="minorHAnsi"/>
          <w:bCs/>
          <w:sz w:val="28"/>
          <w:szCs w:val="28"/>
          <w:lang w:eastAsia="en-US"/>
        </w:rPr>
        <w:t>на автомобильном транспорте, городском наземном электрическом транспорте и в дорожном хозяйстве в границах населенных пунктов Рославльского городского поселения Рославльского района Смоленской области</w:t>
      </w:r>
      <w:r>
        <w:rPr>
          <w:rFonts w:eastAsia="Calibri" w:eastAsiaTheme="minorHAnsi"/>
          <w:sz w:val="28"/>
          <w:szCs w:val="28"/>
          <w:lang w:eastAsia="en-US"/>
        </w:rPr>
        <w:t>, утвержденным решением Совета депутатов Рославльского городского поселения Рославльского района Смоленской области от 11.11.2021 № 15.</w:t>
      </w:r>
    </w:p>
    <w:p>
      <w:pPr>
        <w:pStyle w:val="Normal"/>
        <w:ind w:firstLine="708"/>
        <w:jc w:val="both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suppressAutoHyphens w:val="true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3. В истекшем периоде 2022 года деятельность по муниципальному контролю в рассматриваемой сфере осуществлялась в рамках муниципального контроля за сохранностью автомобильных дорог местного значения в границах территории Рославльского городского поселения Рославльского района Смоленской области.</w:t>
      </w:r>
    </w:p>
    <w:p>
      <w:pPr>
        <w:pStyle w:val="Normal"/>
        <w:suppressAutoHyphens w:val="true"/>
        <w:ind w:firstLine="709"/>
        <w:jc w:val="both"/>
        <w:rPr>
          <w:bCs/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4. За истекший период 2022 года в рамках муниципального контроля </w:t>
      </w:r>
      <w:r>
        <w:rPr>
          <w:bCs/>
          <w:color w:val="000000"/>
          <w:sz w:val="28"/>
          <w:szCs w:val="28"/>
          <w:lang w:eastAsia="zh-CN"/>
        </w:rPr>
        <w:t>в Рославльском городском поселении Рославльского района Смоленской области плановые и внеплановые проверки не проводились.</w:t>
      </w:r>
    </w:p>
    <w:p>
      <w:pPr>
        <w:pStyle w:val="Normal"/>
        <w:suppressAutoHyphens w:val="true"/>
        <w:ind w:firstLine="709"/>
        <w:jc w:val="both"/>
        <w:rPr>
          <w:bCs/>
          <w:color w:val="000000"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  <w:t>Эксперты и представители экспертных организаций к проведению проверок не привлекались.</w:t>
      </w:r>
    </w:p>
    <w:p>
      <w:pPr>
        <w:pStyle w:val="Normal"/>
        <w:suppressAutoHyphens w:val="true"/>
        <w:ind w:firstLine="709"/>
        <w:jc w:val="both"/>
        <w:rPr>
          <w:bCs/>
          <w:color w:val="000000"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  <w:t>Практика выдачи предостережений о недопустимости нарушений обязательных требований при осуществлении муниципального контроля контролируемым лицам не применялась.</w:t>
      </w:r>
    </w:p>
    <w:p>
      <w:pPr>
        <w:pStyle w:val="Normal"/>
        <w:suppressAutoHyphens w:val="true"/>
        <w:ind w:firstLine="709"/>
        <w:jc w:val="both"/>
        <w:rPr>
          <w:bCs/>
          <w:color w:val="000000"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suppressAutoHyphens w:val="true"/>
        <w:ind w:firstLine="708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5. В рамках профилактики рисков причинения вреда (ущерба) охраняемым законом ценностям</w:t>
      </w: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zh-CN"/>
        </w:rPr>
        <w:t>Комитетом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в истекшем периоде 2022 года осуществлялись следующие мероприятия:</w:t>
      </w:r>
    </w:p>
    <w:p>
      <w:pPr>
        <w:pStyle w:val="Normal"/>
        <w:suppressAutoHyphens w:val="true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1) размещение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контроля;</w:t>
      </w:r>
    </w:p>
    <w:p>
      <w:pPr>
        <w:pStyle w:val="Normal"/>
        <w:suppressAutoHyphens w:val="true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2) осуществление информирования контролируемых лиц по вопросам соблюдения обязательных требований с использованием средств телефонной связи и при подготовке ответов на письменные обращения.</w:t>
      </w:r>
    </w:p>
    <w:p>
      <w:pPr>
        <w:pStyle w:val="Normal"/>
        <w:suppressAutoHyphens w:val="true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6. Проблемы, на решение которых направлена Программа профилактики:</w:t>
      </w:r>
    </w:p>
    <w:p>
      <w:pPr>
        <w:pStyle w:val="Normal"/>
        <w:suppressAutoHyphens w:val="tru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повышение эффективности проводимой работы по предупреждению нарушений контролируемыми лицами обязательных требований;</w:t>
      </w:r>
    </w:p>
    <w:p>
      <w:pPr>
        <w:pStyle w:val="Normal"/>
        <w:suppressAutoHyphens w:val="tru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улучшение информационного обеспечения деятельности Администрации муниципального образования «Рославльский район» Смоленской области по предупреждению соблюдения контролируемыми лицами обязательных требований;</w:t>
      </w:r>
    </w:p>
    <w:p>
      <w:pPr>
        <w:pStyle w:val="Normal"/>
        <w:suppressAutoHyphens w:val="tru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уменьшение общего числа нарушений контролируемыми лицами обязательных требований.</w:t>
      </w:r>
    </w:p>
    <w:p>
      <w:pPr>
        <w:pStyle w:val="Normal"/>
        <w:suppressAutoHyphens w:val="true"/>
        <w:ind w:firstLine="709"/>
        <w:jc w:val="both"/>
        <w:rPr>
          <w:bCs/>
          <w:iCs/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 </w:t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Целями реализации Программы профилактики являются:</w:t>
      </w:r>
    </w:p>
    <w:p>
      <w:pPr>
        <w:pStyle w:val="Normal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стимулирование добросовестного соблюдения обязательных требований контролируемым лицом;</w:t>
      </w:r>
    </w:p>
    <w:p>
      <w:pPr>
        <w:pStyle w:val="Normal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3) создание условий для доведения обязательных требований до контролируемого лица, повышение информированности о способах их соблюдения</w:t>
      </w:r>
      <w:r>
        <w:rPr>
          <w:rFonts w:eastAsia="Calibri" w:eastAsiaTheme="minorHAnsi"/>
          <w:bCs/>
          <w:sz w:val="28"/>
          <w:szCs w:val="28"/>
          <w:lang w:eastAsia="en-US"/>
        </w:rPr>
        <w:t>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Задачами реализации Программы профилактики являются:</w:t>
      </w:r>
    </w:p>
    <w:p>
      <w:pPr>
        <w:pStyle w:val="Normal"/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</w:t>
      </w:r>
      <w:r>
        <w:rPr>
          <w:sz w:val="28"/>
          <w:szCs w:val="28"/>
        </w:rPr>
        <w:t>;</w:t>
      </w:r>
    </w:p>
    <w:p>
      <w:pPr>
        <w:pStyle w:val="Normal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</w:p>
    <w:p>
      <w:pPr>
        <w:pStyle w:val="Normal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снижение уровня административной нагрузки на контролируемых лиц, осуществляющих предпринимательскую деятельность;</w:t>
      </w:r>
    </w:p>
    <w:p>
      <w:pPr>
        <w:pStyle w:val="Normal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>
      <w:pPr>
        <w:pStyle w:val="Normal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организация и проведение профилактических мероприятий с учетом состояния подконтрольной среды</w:t>
      </w:r>
      <w:r>
        <w:rPr>
          <w:color w:val="000000"/>
          <w:sz w:val="28"/>
          <w:szCs w:val="28"/>
        </w:rPr>
        <w:t xml:space="preserve"> и анализа выявленных в результате проведения муниципального контроля нарушений обязательных требований</w:t>
      </w:r>
      <w:r>
        <w:rPr>
          <w:sz w:val="28"/>
          <w:szCs w:val="28"/>
        </w:rPr>
        <w:t>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d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 сведений, предусмотренных </w:t>
            </w:r>
            <w:hyperlink r:id="rId8">
              <w:r>
                <w:rPr>
                  <w:rFonts w:eastAsia="Calibri" w:eastAsiaTheme="minorHAnsi"/>
                  <w:bCs/>
                  <w:color w:val="auto"/>
                  <w:kern w:val="0"/>
                  <w:sz w:val="24"/>
                  <w:szCs w:val="24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00" w:leader="none"/>
              </w:tabs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9">
              <w:r>
                <w:rPr>
                  <w:rFonts w:eastAsia="Calibri" w:eastAsiaTheme="minorHAnsi"/>
                  <w:bCs/>
                  <w:color w:val="auto"/>
                  <w:kern w:val="0"/>
                  <w:sz w:val="24"/>
                  <w:szCs w:val="24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                     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9.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«Интернет», в средствах массовой информации;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sectPr>
      <w:headerReference w:type="default" r:id="rId10"/>
      <w:headerReference w:type="first" r:id="rId11"/>
      <w:type w:val="nextPage"/>
      <w:pgSz w:w="11906" w:h="16838"/>
      <w:pgMar w:left="1701" w:right="849" w:gutter="0" w:header="709" w:top="1134" w:footer="0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New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578b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c73f20"/>
    <w:pPr>
      <w:keepNext w:val="true"/>
      <w:ind w:right="68" w:hanging="0"/>
      <w:jc w:val="center"/>
      <w:outlineLvl w:val="0"/>
    </w:pPr>
    <w:rPr>
      <w:b/>
      <w:iCs/>
      <w:sz w:val="36"/>
      <w:szCs w:val="36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551dd3"/>
    <w:pPr>
      <w:keepNext w:val="true"/>
      <w:keepLines/>
      <w:spacing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Верхний колонтитул Знак"/>
    <w:basedOn w:val="DefaultParagraphFont"/>
    <w:link w:val="a3"/>
    <w:uiPriority w:val="99"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link w:val="a5"/>
    <w:uiPriority w:val="99"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Текст сноски Знак"/>
    <w:basedOn w:val="DefaultParagraphFont"/>
    <w:link w:val="a8"/>
    <w:uiPriority w:val="99"/>
    <w:semiHidden/>
    <w:qFormat/>
    <w:rsid w:val="00d74fba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74fba"/>
    <w:rPr>
      <w:vertAlign w:val="superscript"/>
    </w:rPr>
  </w:style>
  <w:style w:type="character" w:styleId="Style16" w:customStyle="1">
    <w:name w:val="Текст выноски Знак"/>
    <w:basedOn w:val="DefaultParagraphFont"/>
    <w:link w:val="ab"/>
    <w:uiPriority w:val="99"/>
    <w:semiHidden/>
    <w:qFormat/>
    <w:rsid w:val="00c02ac0"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basedOn w:val="DefaultParagraphFont"/>
    <w:link w:val="1"/>
    <w:qFormat/>
    <w:rsid w:val="00c73f20"/>
    <w:rPr>
      <w:rFonts w:ascii="Times New Roman" w:hAnsi="Times New Roman" w:eastAsia="Times New Roman" w:cs="Times New Roman"/>
      <w:b/>
      <w:iCs/>
      <w:sz w:val="36"/>
      <w:szCs w:val="36"/>
      <w:lang w:eastAsia="ru-RU"/>
    </w:rPr>
  </w:style>
  <w:style w:type="character" w:styleId="Style17">
    <w:name w:val="Интернет-ссылка"/>
    <w:basedOn w:val="DefaultParagraphFont"/>
    <w:uiPriority w:val="99"/>
    <w:unhideWhenUsed/>
    <w:rsid w:val="0081522c"/>
    <w:rPr>
      <w:color w:val="0000FF" w:themeColor="hyperlink"/>
      <w:u w:val="single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551dd3"/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  <w:sz w:val="24"/>
      <w:szCs w:val="24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4"/>
    <w:uiPriority w:val="99"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6"/>
    <w:uiPriority w:val="99"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d74fba"/>
    <w:pPr>
      <w:spacing w:before="0" w:after="0"/>
      <w:ind w:left="720" w:hanging="0"/>
      <w:contextualSpacing/>
    </w:pPr>
    <w:rPr/>
  </w:style>
  <w:style w:type="paragraph" w:styleId="Style26">
    <w:name w:val="Footnote Text"/>
    <w:basedOn w:val="Normal"/>
    <w:link w:val="a9"/>
    <w:uiPriority w:val="99"/>
    <w:semiHidden/>
    <w:unhideWhenUsed/>
    <w:rsid w:val="00d74fba"/>
    <w:pPr/>
    <w:rPr>
      <w:sz w:val="20"/>
      <w:szCs w:val="20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c02ac0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444d6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paragraph" w:styleId="ConsPlusNonformat" w:customStyle="1">
    <w:name w:val="ConsPlusNonformat"/>
    <w:uiPriority w:val="99"/>
    <w:qFormat/>
    <w:rsid w:val="00fb4603"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0"/>
      <w:szCs w:val="20"/>
      <w:lang w:val="ru-RU" w:eastAsia="en-US" w:bidi="ar-SA"/>
    </w:rPr>
  </w:style>
  <w:style w:type="paragraph" w:styleId="ConsPlusTitle" w:customStyle="1">
    <w:name w:val="ConsPlusTitle"/>
    <w:qFormat/>
    <w:rsid w:val="00983c1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8d0a7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3" Type="http://schemas.openxmlformats.org/officeDocument/2006/relationships/hyperlink" Target="consultantplus://offline/ref=35A8F8A49BD4455DAA0466B54165E2831A30BDC8AF71BBB3C81C9E9B0A8C2A445FD59E9FA97891D7B45C2AE686iFZCJ" TargetMode="External"/><Relationship Id="rId4" Type="http://schemas.openxmlformats.org/officeDocument/2006/relationships/hyperlink" Target="consultantplus://offline/ref=65A24217A722F6946B94ED5A230DE166459E05B2E44E037971CDCD8161154FE9E7880B6E450425C16731C1937DBD67A852ED323B2B6A80CDv6gAJ" TargetMode="External"/><Relationship Id="rId5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6" Type="http://schemas.openxmlformats.org/officeDocument/2006/relationships/hyperlink" Target="consultantplus://offline/ref=35A8F8A49BD4455DAA0466B54165E2831A30BDC8AF71BBB3C81C9E9B0A8C2A445FD59E9FA97891D7B45C2AE686iFZCJ" TargetMode="External"/><Relationship Id="rId7" Type="http://schemas.openxmlformats.org/officeDocument/2006/relationships/hyperlink" Target="consultantplus://offline/ref=65A24217A722F6946B94ED5A230DE166459E05B2E44E037971CDCD8161154FE9E7880B6E450425C16731C1937DBD67A852ED323B2B6A80CDv6gAJ" TargetMode="External"/><Relationship Id="rId8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9" Type="http://schemas.openxmlformats.org/officeDocument/2006/relationships/hyperlink" Target="consultantplus://offline/ref=35A8F8A49BD4455DAA0466B54165E2831A30BDC8AF71BBB3C81C9E9B0A8C2A445FD59E9FA97891D7B45C2AE686iFZCJ" TargetMode="Externa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437D7-85A8-4E48-BACF-B73C7CD5C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Application>LibreOffice/7.2.4.1$Windows_X86_64 LibreOffice_project/27d75539669ac387bb498e35313b970b7fe9c4f9</Application>
  <AppVersion>15.0000</AppVersion>
  <Pages>13</Pages>
  <Words>2704</Words>
  <Characters>22011</Characters>
  <CharactersWithSpaces>24541</CharactersWithSpaces>
  <Paragraphs>230</Paragraphs>
  <Company>SMO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2012-10-22T11:30:00Z</dcterms:created>
  <dc:creator>Karnushina_TP</dc:creator>
  <dc:description/>
  <dc:language>ru-RU</dc:language>
  <cp:lastModifiedBy/>
  <cp:lastPrinted>2023-04-24T11:04:55Z</cp:lastPrinted>
  <dcterms:modified xsi:type="dcterms:W3CDTF">2023-04-24T11:44:58Z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