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7"/>
        <w:tblW w:w="4473" w:type="dxa"/>
        <w:jc w:val="left"/>
        <w:tblInd w:w="103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3"/>
      </w:tblGrid>
      <w:tr>
        <w:trPr/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hd w:val="clear" w:color="auto" w:fill="FFFFFF"/>
              <w:suppressAutoHyphens w:val="false"/>
              <w:spacing w:before="0" w:after="0"/>
              <w:jc w:val="both"/>
              <w:rPr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lang w:val="ru-RU" w:eastAsia="ru-RU" w:bidi="ar-SA"/>
              </w:rPr>
              <w:t>Приложение 1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both"/>
              <w:rPr>
                <w:bCs/>
                <w:color w:val="000000"/>
                <w:lang w:eastAsia="ru-RU"/>
              </w:rPr>
            </w:pPr>
            <w:bookmarkStart w:id="0" w:name="_GoBack"/>
            <w:r>
              <w:rPr>
                <w:rFonts w:eastAsia="Times New Roman" w:cs="Times New Roman"/>
                <w:bCs/>
                <w:color w:val="000000"/>
                <w:kern w:val="0"/>
                <w:sz w:val="20"/>
                <w:lang w:val="ru-RU" w:eastAsia="ru-RU" w:bidi="ar-SA"/>
              </w:rPr>
              <w:t>к Положению об оценке эффективности деятельности руководителей муниципальных бюджетных и автономных учреждений культуры муниципального образования «Рославльский район» Смоленской области утвержденным постановлением Администрации муниципального образования «Рославльский район» Смоленской области от 29.12.2018 № 2369 (в редакции постановлений Администрации муниципального образования «Рославльский район» Смоленской области от 19.08.2019 № 1411, от 03.09.2021 № 1350, от 30.01.2023 № 76)</w:t>
            </w:r>
            <w:bookmarkEnd w:id="0"/>
          </w:p>
        </w:tc>
      </w:tr>
    </w:tbl>
    <w:p>
      <w:pPr>
        <w:pStyle w:val="Normal"/>
        <w:shd w:val="clear" w:color="auto" w:fill="FFFFFF"/>
        <w:suppressAutoHyphens w:val="false"/>
        <w:jc w:val="right"/>
        <w:rPr>
          <w:rFonts w:ascii="Arial" w:hAnsi="Arial" w:cs="Arial"/>
          <w:b/>
          <w:b/>
          <w:bCs/>
          <w:color w:val="000000"/>
          <w:sz w:val="21"/>
          <w:szCs w:val="21"/>
          <w:lang w:eastAsia="ru-RU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eastAsia="ru-RU"/>
        </w:rPr>
      </w:r>
    </w:p>
    <w:p>
      <w:pPr>
        <w:pStyle w:val="Normal"/>
        <w:shd w:val="clear" w:color="auto" w:fill="FFFFFF"/>
        <w:suppressAutoHyphens w:val="false"/>
        <w:jc w:val="center"/>
        <w:rPr>
          <w:rFonts w:ascii="Arial" w:hAnsi="Arial" w:cs="Arial"/>
          <w:b/>
          <w:b/>
          <w:bCs/>
          <w:color w:val="000000"/>
          <w:sz w:val="21"/>
          <w:szCs w:val="21"/>
          <w:lang w:eastAsia="ru-RU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eastAsia="ru-RU"/>
        </w:rPr>
      </w:r>
    </w:p>
    <w:p>
      <w:pPr>
        <w:pStyle w:val="Normal"/>
        <w:shd w:val="clear" w:color="auto" w:fill="FFFFFF"/>
        <w:suppressAutoHyphens w:val="false"/>
        <w:jc w:val="center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 xml:space="preserve">ПОКАЗАТЕЛИ И КРИТЕРИИ ОЦЕНКИ ЭФФЕКТИВНОСТИ И РЕЗУЛЬТАТИВНОСТИ ДЕЯТЕЛЬНОСТИ РУКОВОДИТЕЛЕЙ </w:t>
      </w:r>
    </w:p>
    <w:p>
      <w:pPr>
        <w:pStyle w:val="Normal"/>
        <w:shd w:val="clear" w:color="auto" w:fill="FFFFFF"/>
        <w:suppressAutoHyphens w:val="false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bCs/>
          <w:color w:val="000000"/>
          <w:lang w:eastAsia="ru-RU"/>
        </w:rPr>
        <w:t>МУНИЦИПАЛЬНЫХ БЮДЖЕТНЫХ УЧРЕЖДЕНИЙ КУЛЬТУРЫ МУНИЦИПАЛЬНОГО ОБРАЗОВАНИЯ «РОСЛАВЛЬСКИЙ РАЙОН» СМОЛЕНСКОЙ ОБЛАСТИ</w:t>
      </w:r>
    </w:p>
    <w:p>
      <w:pPr>
        <w:pStyle w:val="Normal"/>
        <w:shd w:val="clear" w:color="auto" w:fill="FFFFFF"/>
        <w:suppressAutoHyphens w:val="false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4758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674"/>
        <w:gridCol w:w="4727"/>
        <w:gridCol w:w="3540"/>
        <w:gridCol w:w="2840"/>
        <w:gridCol w:w="2977"/>
      </w:tblGrid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Целевые показатели эффективности и результативности деятельности руководителя учреждения культуры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Критерии оценки эффективности и результативности деятельности руководителя учреждения культуры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Единица измерения – баллы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Форма отчетности, содержащая информацию о выполнении показателя</w:t>
            </w:r>
          </w:p>
        </w:tc>
      </w:tr>
      <w:tr>
        <w:trPr/>
        <w:tc>
          <w:tcPr>
            <w:tcW w:w="14758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sz w:val="22"/>
                <w:szCs w:val="22"/>
                <w:lang w:eastAsia="ru-RU"/>
              </w:rPr>
              <w:t>1. Основная деятельность учреждения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учреждением муниципального задания по показателям объема и качества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Выполнено в полном объеме/ не в полном объеме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Да – 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Нет – 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Развитие материально-технической базы и содержание основного имущества учреждения за счет средств, полученных от приносящей доход деятельности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Доля средств, затраченных на улучшение МТБ от общего объема средств, полученных от приносящей доход деятельности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Более 50% -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15 до 50% </w:t>
            </w:r>
            <w:r>
              <w:rPr>
                <w:b/>
                <w:sz w:val="22"/>
                <w:szCs w:val="22"/>
                <w:lang w:eastAsia="ru-RU"/>
              </w:rPr>
              <w:t>- 0,5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Менее 15% -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Справка-информация о доле средств затраченных на улучшение МТБ от общего объема средств, полученных от приносящей доход деятельности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Осуществление инновационной деятельности – внедрение новых форм, методик, технологий социально - культурного обслуживания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Осуществляется/ не осуществляется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1.4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информационной открытости учреждения, информирование населения о работе учреждения, популяризация деятельности учреждения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 на официальном сайте учреждения актуализированных обязательных сведений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 стендов в Учреждении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Наличие/отсутствие актуальной официальной страницы группы в социальных сетях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 – -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Мониторинг сайтов;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учреждения;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подтверждающих документов об использовании иных способов информирования (копии договоров со СМИ, рекламными агентствами, выдержки из периодических печатных изданий), скриншоты страниц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1.5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Участие учреждения в грантовых конкурсах, (не реже 1 раза в год)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 грантов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Получение грантов,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 грамот, дипломов, сертификатов и т.д. соответствующих степеней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1.6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 поощрений у руководителя и/или учреждения, с актуальным периодом три года(государственных, областных, местных)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 поощрений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(в соответствие со статусом поощрения)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Государственный – </w:t>
            </w:r>
            <w:r>
              <w:rPr>
                <w:b/>
                <w:sz w:val="22"/>
                <w:szCs w:val="22"/>
                <w:lang w:eastAsia="ru-RU"/>
              </w:rPr>
              <w:t>1,5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Областной –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Местный уровень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</w:t>
            </w:r>
            <w:r>
              <w:rPr>
                <w:b/>
                <w:sz w:val="22"/>
                <w:szCs w:val="22"/>
                <w:lang w:eastAsia="ru-RU"/>
              </w:rPr>
              <w:t xml:space="preserve"> – 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руководителем учреждения актуализированной информации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1.7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Установление связей с общественностью и привлечение социальных партнеров к осуществлению уставной деятельности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 отсутствие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Заключенные договора, соглашения с социальными партнерами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1.8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Работа с детьми из социально неблагополучных семей, в т.ч. групп «особого внимания»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Ведется /не ведется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работе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1.9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Привлечение к проведению мероприятий волонтеров и волонтерских организаций. Наличие  в учреждении волонтерского корпуса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Привлекались/ не привлекались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Наличие/отсутствие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работе</w:t>
            </w:r>
          </w:p>
        </w:tc>
      </w:tr>
      <w:tr>
        <w:trPr>
          <w:trHeight w:val="1778" w:hRule="atLeast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1.10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Организация или участие в совместной организации и проведении крупных, значимых мероприятий (акций, проектов) общегородского, областного, проводимых на основании НПА МО «Рославльский район», Администрации Смоленской области.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Участие (организация)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Областной –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Местный уровень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об участии (организации)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1.11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целевых показателей по посещаемости  учреждений культуры («Дорожная карта»), установленных федеральными, областными и муниципальными органами власти.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Выполнено в полном объеме/ не в полном объеме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-0,5 баллов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работе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1.12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Федерального проекта «Пушкинская карта»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Увеличение/уменьшение числа продаж билетов по «Пушкинской карте», по сравнению с предыдущим периодом (кварталом)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Увеличилось –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Уменьшилось – </w:t>
            </w:r>
            <w:r>
              <w:rPr>
                <w:b/>
                <w:sz w:val="22"/>
                <w:szCs w:val="22"/>
                <w:lang w:eastAsia="ru-RU"/>
              </w:rPr>
              <w:t>0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b/>
                <w:sz w:val="22"/>
                <w:szCs w:val="22"/>
                <w:lang w:eastAsia="ru-RU"/>
              </w:rPr>
              <w:t>балла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продаже билетов</w:t>
            </w:r>
          </w:p>
        </w:tc>
      </w:tr>
      <w:tr>
        <w:trPr/>
        <w:tc>
          <w:tcPr>
            <w:tcW w:w="14758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2. Финансово-экономическая деятельность, исполнительская дисциплина учреждения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Своевременность предоставления отчетности по исполнению муниципального задания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Соблюдение сроков предоставления отчетности/ не соблюдение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 – -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Финансовая дисциплина (отсутствие нарушений по итогам контрольно-ревизионных проверок).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Отсутствие /наличие нарушений по итогам контрольно-ревизионных проверок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 отсутствие предписаний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(представлений)</w:t>
            </w:r>
          </w:p>
        </w:tc>
      </w:tr>
      <w:tr>
        <w:trPr/>
        <w:tc>
          <w:tcPr>
            <w:tcW w:w="14758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3. Деятельность учреждения, направленная на работу с кадрами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Уровень квалификации и профессиональной подготовленности специалистов и основных работников учреждения (соответствие работников квалификационным требованиям к занимаемым должностям)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Доля специалистов и основных работников с высшим профессиональным и средним профессиональным образованием (в соответствующей сфере, в т.ч. переподготовка и повышение квалификации) от общего числа основных работников и специалистов включая руководителей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Более 50% - </w:t>
            </w:r>
            <w:r>
              <w:rPr>
                <w:b/>
                <w:sz w:val="22"/>
                <w:szCs w:val="22"/>
                <w:lang w:eastAsia="ru-RU"/>
              </w:rPr>
              <w:t>1 балл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От 10% до 50 % -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Менее 10% -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1408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0A0A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4. Музей и  библиотечная система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4.1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массовых культурно-досуговых, информационно-просветительских мероприятий.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Проводятся /не проводятся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Да –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Нет –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1408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0A0A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5. Учреждения КДД</w:t>
            </w:r>
          </w:p>
        </w:tc>
      </w:tr>
      <w:tr>
        <w:trPr/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47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Участие клубных формирований в международных, всероссийских, межрегиональных и областных конкурсах и фестивалях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Доля клубных формирований учреждения участвующих в конкурсах и фестивалях различного уровня от общего количества клубных формирований</w:t>
            </w:r>
          </w:p>
        </w:tc>
        <w:tc>
          <w:tcPr>
            <w:tcW w:w="2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Более 30% - </w:t>
            </w:r>
            <w:r>
              <w:rPr>
                <w:b/>
                <w:sz w:val="22"/>
                <w:szCs w:val="22"/>
                <w:lang w:eastAsia="ru-RU"/>
              </w:rPr>
              <w:t>0,5 балла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Менее 30% - </w:t>
            </w:r>
            <w:r>
              <w:rPr>
                <w:b/>
                <w:sz w:val="22"/>
                <w:szCs w:val="22"/>
                <w:lang w:eastAsia="ru-RU"/>
              </w:rPr>
              <w:t>0 баллов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Отчеты о деятельности учреждения</w:t>
            </w:r>
          </w:p>
        </w:tc>
      </w:tr>
    </w:tbl>
    <w:p>
      <w:pPr>
        <w:pStyle w:val="Normal"/>
        <w:shd w:val="clear" w:color="auto" w:fill="FFFFFF"/>
        <w:suppressAutoHyphens w:val="false"/>
        <w:spacing w:before="0" w:after="240"/>
        <w:rPr>
          <w:rFonts w:ascii="Arial" w:hAnsi="Arial" w:cs="Arial"/>
          <w:color w:val="000000"/>
          <w:sz w:val="22"/>
          <w:szCs w:val="22"/>
          <w:lang w:eastAsia="ru-RU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gutter="0" w:header="709" w:top="1134" w:footer="0" w:bottom="851"/>
      <w:pgNumType w:start="15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56441100"/>
    </w:sdtPr>
    <w:sdtContent>
      <w:p>
        <w:pPr>
          <w:pStyle w:val="Style21"/>
          <w:jc w:val="center"/>
          <w:rPr/>
        </w:pPr>
        <w:r>
          <w:rPr/>
        </w:r>
      </w:p>
    </w:sdtContent>
  </w:sdt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9026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Normal"/>
    <w:link w:val="10"/>
    <w:uiPriority w:val="9"/>
    <w:qFormat/>
    <w:rsid w:val="00690269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"/>
    <w:qFormat/>
    <w:rsid w:val="00641128"/>
    <w:pPr>
      <w:suppressAutoHyphens w:val="false"/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690269"/>
    <w:rPr>
      <w:b/>
      <w:bCs/>
      <w:kern w:val="2"/>
      <w:sz w:val="48"/>
      <w:szCs w:val="4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641128"/>
    <w:rPr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41128"/>
    <w:rPr>
      <w:b/>
      <w:bCs/>
    </w:rPr>
  </w:style>
  <w:style w:type="character" w:styleId="Appleconvertedspace" w:customStyle="1">
    <w:name w:val="apple-converted-space"/>
    <w:basedOn w:val="DefaultParagraphFont"/>
    <w:qFormat/>
    <w:rsid w:val="00641128"/>
    <w:rPr/>
  </w:style>
  <w:style w:type="character" w:styleId="Style12" w:customStyle="1">
    <w:name w:val="Верхний колонтитул Знак"/>
    <w:basedOn w:val="DefaultParagraphFont"/>
    <w:link w:val="a8"/>
    <w:uiPriority w:val="99"/>
    <w:qFormat/>
    <w:rsid w:val="006b4e45"/>
    <w:rPr>
      <w:sz w:val="24"/>
      <w:szCs w:val="24"/>
      <w:lang w:eastAsia="zh-CN"/>
    </w:rPr>
  </w:style>
  <w:style w:type="character" w:styleId="Style13" w:customStyle="1">
    <w:name w:val="Нижний колонтитул Знак"/>
    <w:basedOn w:val="DefaultParagraphFont"/>
    <w:link w:val="aa"/>
    <w:uiPriority w:val="99"/>
    <w:qFormat/>
    <w:rsid w:val="006b4e45"/>
    <w:rPr>
      <w:sz w:val="24"/>
      <w:szCs w:val="24"/>
      <w:lang w:eastAsia="zh-CN"/>
    </w:rPr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455879"/>
    <w:rPr>
      <w:rFonts w:ascii="Segoe UI" w:hAnsi="Segoe UI" w:cs="Segoe UI"/>
      <w:sz w:val="18"/>
      <w:szCs w:val="18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rsid w:val="00690269"/>
    <w:pPr>
      <w:suppressLineNumbers/>
      <w:spacing w:before="120" w:after="120"/>
    </w:pPr>
    <w:rPr>
      <w:rFonts w:cs="Lohit Hindi"/>
      <w:i/>
      <w:iCs/>
    </w:rPr>
  </w:style>
  <w:style w:type="paragraph" w:styleId="ListParagraph">
    <w:name w:val="List Paragraph"/>
    <w:basedOn w:val="Normal"/>
    <w:uiPriority w:val="34"/>
    <w:qFormat/>
    <w:rsid w:val="00690269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641128"/>
    <w:pPr>
      <w:suppressAutoHyphens w:val="false"/>
      <w:spacing w:beforeAutospacing="1" w:afterAutospacing="1"/>
    </w:pPr>
    <w:rPr>
      <w:lang w:eastAsia="ru-RU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9"/>
    <w:uiPriority w:val="99"/>
    <w:unhideWhenUsed/>
    <w:rsid w:val="006b4e4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ab"/>
    <w:uiPriority w:val="99"/>
    <w:unhideWhenUsed/>
    <w:rsid w:val="006b4e4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455879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d32c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6241-7656-4DB9-9F7B-7FD9940B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Application>LibreOffice/7.2.4.1$Windows_X86_64 LibreOffice_project/27d75539669ac387bb498e35313b970b7fe9c4f9</Application>
  <AppVersion>15.0000</AppVersion>
  <Pages>3</Pages>
  <Words>773</Words>
  <Characters>5488</Characters>
  <CharactersWithSpaces>6171</CharactersWithSpaces>
  <Paragraphs>136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2019-01-14T14:02:00Z</dcterms:created>
  <dc:creator>Simonov_AA</dc:creator>
  <dc:description/>
  <dc:language>ru-RU</dc:language>
  <cp:lastModifiedBy/>
  <cp:lastPrinted>2023-01-31T12:14:38Z</cp:lastPrinted>
  <dcterms:modified xsi:type="dcterms:W3CDTF">2023-01-31T12:14:45Z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